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3620" y="1369338"/>
                            <a:ext cx="17729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20675">
                                <a:moveTo>
                                  <a:pt x="177238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72386" y="320382"/>
                                </a:lnTo>
                                <a:lnTo>
                                  <a:pt x="1772386" y="315214"/>
                                </a:lnTo>
                                <a:close/>
                              </a:path>
                              <a:path w="1772920" h="320675">
                                <a:moveTo>
                                  <a:pt x="1772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72386" y="5168"/>
                                </a:lnTo>
                                <a:lnTo>
                                  <a:pt x="17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63139" y="763308"/>
                            <a:ext cx="17862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LARENA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HOCH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8056" y="2490038"/>
                            <a:ext cx="1376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lhoch@fennemorelaw.com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46614" y="3745695"/>
                            <a:ext cx="3589654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thinking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something,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dear,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talk.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Lewis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Carroll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010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LARENA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HOCH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0;top:2716;width:2792;height:505" id="docshape6" coordorigin="7111,2716" coordsize="2792,505" path="m9902,3213l7111,3213,7111,3221,9902,3221,9902,3213xm9902,2716l7111,2716,7111,2725,9902,2725,990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9;top:1762;width:281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LARENA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HOCH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602.916.5710</w:t>
                        </w:r>
                      </w:p>
                    </w:txbxContent>
                  </v:textbox>
                  <w10:wrap type="none"/>
                </v:shape>
                <v:shape style="position:absolute;left:7432;top:4481;width:216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lhoch@fennemorelaw.com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04;top:6458;width:565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thinking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something,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dear,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talk.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Lewis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Carroll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734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LARENA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HOCH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416"/>
      </w:pPr>
      <w:r>
        <w:rPr>
          <w:color w:val="6E6158"/>
        </w:rPr>
        <w:t>Larena E. Hoch is a paralegal in Fennemore’s </w:t>
      </w:r>
      <w:hyperlink r:id="rId11">
        <w:r>
          <w:rPr>
            <w:color w:val="F5821F"/>
          </w:rPr>
          <w:t>Estate Planning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2">
        <w:r>
          <w:rPr>
            <w:color w:val="F5821F"/>
          </w:rPr>
          <w:t>Trusts and Estates</w:t>
        </w:r>
      </w:hyperlink>
      <w:r>
        <w:rPr>
          <w:color w:val="F5821F"/>
        </w:rPr>
        <w:t>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groups. Her experience lies in the preparation of estate planning documents, with additional</w:t>
      </w:r>
      <w:r>
        <w:rPr>
          <w:color w:val="6E6158"/>
          <w:spacing w:val="40"/>
        </w:rPr>
        <w:t> </w:t>
      </w:r>
      <w:r>
        <w:rPr>
          <w:color w:val="6E6158"/>
        </w:rPr>
        <w:t>experience in probate and trust administration. Larena’s journey into the legal field began</w:t>
      </w:r>
      <w:r>
        <w:rPr>
          <w:color w:val="6E6158"/>
          <w:spacing w:val="40"/>
        </w:rPr>
        <w:t> </w:t>
      </w:r>
      <w:r>
        <w:rPr>
          <w:color w:val="6E6158"/>
        </w:rPr>
        <w:t>during her sophomore year at Arizona State University, where she worked as a file clerk for</w:t>
      </w:r>
      <w:r>
        <w:rPr>
          <w:color w:val="6E6158"/>
          <w:spacing w:val="40"/>
        </w:rPr>
        <w:t> </w:t>
      </w:r>
      <w:r>
        <w:rPr>
          <w:color w:val="6E6158"/>
        </w:rPr>
        <w:t>various lawyers across multiple practice areas. Her potential was quickly recognized by an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</w:rPr>
        <w:t>lawyer</w:t>
      </w:r>
      <w:r>
        <w:rPr>
          <w:color w:val="6E6158"/>
          <w:spacing w:val="15"/>
        </w:rPr>
        <w:t> </w:t>
      </w:r>
      <w:r>
        <w:rPr>
          <w:color w:val="6E6158"/>
        </w:rPr>
        <w:t>who</w:t>
      </w:r>
      <w:r>
        <w:rPr>
          <w:color w:val="6E6158"/>
          <w:spacing w:val="15"/>
        </w:rPr>
        <w:t> </w:t>
      </w:r>
      <w:r>
        <w:rPr>
          <w:color w:val="6E6158"/>
        </w:rPr>
        <w:t>mentored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ultimately</w:t>
      </w:r>
      <w:r>
        <w:rPr>
          <w:color w:val="6E6158"/>
          <w:spacing w:val="15"/>
        </w:rPr>
        <w:t> </w:t>
      </w:r>
      <w:r>
        <w:rPr>
          <w:color w:val="6E6158"/>
        </w:rPr>
        <w:t>promoting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role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paralegal.</w:t>
      </w:r>
    </w:p>
    <w:p>
      <w:pPr>
        <w:pStyle w:val="BodyText"/>
        <w:spacing w:before="187"/>
        <w:ind w:left="104"/>
      </w:pPr>
      <w:r>
        <w:rPr>
          <w:color w:val="6E6158"/>
        </w:rPr>
        <w:t>Beyond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professional</w:t>
      </w:r>
      <w:r>
        <w:rPr>
          <w:color w:val="6E6158"/>
          <w:spacing w:val="11"/>
        </w:rPr>
        <w:t> </w:t>
      </w:r>
      <w:r>
        <w:rPr>
          <w:color w:val="6E6158"/>
        </w:rPr>
        <w:t>life,</w:t>
      </w:r>
      <w:r>
        <w:rPr>
          <w:color w:val="6E6158"/>
          <w:spacing w:val="11"/>
        </w:rPr>
        <w:t> </w:t>
      </w:r>
      <w:r>
        <w:rPr>
          <w:color w:val="6E6158"/>
        </w:rPr>
        <w:t>Larena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passion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travel.</w:t>
      </w:r>
      <w:r>
        <w:rPr>
          <w:color w:val="6E6158"/>
          <w:spacing w:val="11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short</w:t>
      </w:r>
      <w:r>
        <w:rPr>
          <w:color w:val="6E6158"/>
          <w:spacing w:val="11"/>
        </w:rPr>
        <w:t> </w:t>
      </w:r>
      <w:r>
        <w:rPr>
          <w:color w:val="6E6158"/>
        </w:rPr>
        <w:t>weekend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road</w:t>
      </w:r>
    </w:p>
    <w:p>
      <w:pPr>
        <w:pStyle w:val="BodyText"/>
        <w:spacing w:line="297" w:lineRule="auto" w:before="52"/>
        <w:ind w:left="104"/>
      </w:pPr>
      <w:r>
        <w:rPr>
          <w:color w:val="6E6158"/>
        </w:rPr>
        <w:t>trip or a long flight to a foreign country, she loves exploring new places. She enjoys learning from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32"/>
        </w:rPr>
        <w:t> </w:t>
      </w:r>
      <w:r>
        <w:rPr>
          <w:color w:val="6E6158"/>
        </w:rPr>
        <w:t>people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immersing</w:t>
      </w:r>
      <w:r>
        <w:rPr>
          <w:color w:val="6E6158"/>
          <w:spacing w:val="32"/>
        </w:rPr>
        <w:t> </w:t>
      </w:r>
      <w:r>
        <w:rPr>
          <w:color w:val="6E6158"/>
        </w:rPr>
        <w:t>herself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different</w:t>
      </w:r>
      <w:r>
        <w:rPr>
          <w:color w:val="6E6158"/>
          <w:spacing w:val="32"/>
        </w:rPr>
        <w:t> </w:t>
      </w:r>
      <w:r>
        <w:rPr>
          <w:color w:val="6E6158"/>
        </w:rPr>
        <w:t>cultures,</w:t>
      </w:r>
      <w:r>
        <w:rPr>
          <w:color w:val="6E6158"/>
          <w:spacing w:val="32"/>
        </w:rPr>
        <w:t> </w:t>
      </w:r>
      <w:r>
        <w:rPr>
          <w:color w:val="6E6158"/>
        </w:rPr>
        <w:t>savoring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food,</w:t>
      </w:r>
      <w:r>
        <w:rPr>
          <w:color w:val="6E6158"/>
          <w:spacing w:val="32"/>
        </w:rPr>
        <w:t> </w:t>
      </w:r>
      <w:r>
        <w:rPr>
          <w:color w:val="6E6158"/>
        </w:rPr>
        <w:t>dance,</w:t>
      </w:r>
      <w:r>
        <w:rPr>
          <w:color w:val="6E6158"/>
          <w:spacing w:val="32"/>
        </w:rPr>
        <w:t> </w:t>
      </w:r>
      <w:r>
        <w:rPr>
          <w:color w:val="6E6158"/>
        </w:rPr>
        <w:t>traditions, and perspectives on life.</w:t>
      </w:r>
    </w:p>
    <w:p>
      <w:pPr>
        <w:pStyle w:val="Heading1"/>
        <w:spacing w:before="15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16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785pt;width:1.65pt;height:1.65pt;mso-position-horizontal-relative:page;mso-position-vertical-relative:paragraph;z-index:15729664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561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312pt;width:1.65pt;height:1.65pt;mso-position-horizontal-relative:page;mso-position-vertical-relative:paragraph;z-index:15730688" id="docshape17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W.P. Carey School of </w:t>
      </w:r>
      <w:r>
        <w:rPr>
          <w:color w:val="6E6158"/>
        </w:rPr>
        <w:t>Business</w:t>
      </w:r>
      <w:r>
        <w:rPr>
          <w:color w:val="6E6158"/>
        </w:rPr>
        <w:t> Arizona State University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95pt;width:1.65pt;height:1.65pt;mso-position-horizontal-relative:page;mso-position-vertical-relative:paragraph;z-index:15731200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hoch@fennemorelaw.com" TargetMode="External"/><Relationship Id="rId11" Type="http://schemas.openxmlformats.org/officeDocument/2006/relationships/hyperlink" Target="https://www.fennemorelaw.com/services/practices/estate-planning/" TargetMode="External"/><Relationship Id="rId12" Type="http://schemas.openxmlformats.org/officeDocument/2006/relationships/hyperlink" Target="https://www.fennemorelaw.com/services/practices/trusts-estat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2025-01-02T06:11:10Z</dcterms:created>
  <dcterms:modified xsi:type="dcterms:W3CDTF">2025-01-02T06:11:10Z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