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LUIS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MONTANEZ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lmontanez@fennemorelaw.com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04;top:2156;width:2922;height:505" id="docshape5" coordorigin="5704,2156" coordsize="2922,505" path="m8626,2653l5704,2653,5704,2661,8626,2661,8626,2653xm8626,2156l5704,2156,5704,2165,8626,2165,8626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LUIS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MONTANEZ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lmontanez@fennemorelaw.com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LUIS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MONTANEZ</w:t>
      </w:r>
    </w:p>
    <w:p>
      <w:pPr>
        <w:pStyle w:val="BodyText"/>
        <w:spacing w:line="302" w:lineRule="auto"/>
        <w:ind w:right="665"/>
      </w:pPr>
      <w:r>
        <w:rPr>
          <w:color w:val="6E6158"/>
        </w:rPr>
        <w:t>Luis Montanez is an associate in our Las Vegas office working in the Business Litigation practice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group.</w:t>
      </w:r>
    </w:p>
    <w:p>
      <w:pPr>
        <w:pStyle w:val="BodyText"/>
        <w:spacing w:line="297" w:lineRule="auto" w:before="186"/>
        <w:ind w:right="651"/>
      </w:pPr>
      <w:r>
        <w:rPr>
          <w:color w:val="6E6158"/>
        </w:rPr>
        <w:t>Luis received his J.D. from the William S. Boyd School of Law at the University of Nevada, Las</w:t>
      </w:r>
      <w:r>
        <w:rPr>
          <w:color w:val="6E6158"/>
          <w:spacing w:val="40"/>
        </w:rPr>
        <w:t> </w:t>
      </w:r>
      <w:r>
        <w:rPr>
          <w:color w:val="6E6158"/>
        </w:rPr>
        <w:t>Vegas. During his time in law school, Luis served as a senior staffer for the Nevada Law Journal</w:t>
      </w:r>
      <w:r>
        <w:rPr>
          <w:color w:val="6E6158"/>
          <w:spacing w:val="40"/>
        </w:rPr>
        <w:t> </w:t>
      </w:r>
      <w:r>
        <w:rPr>
          <w:color w:val="6E6158"/>
        </w:rPr>
        <w:t>and was a student attorney for the Thomas &amp; Mack Immigration Clinic.</w:t>
      </w:r>
    </w:p>
    <w:p>
      <w:pPr>
        <w:pStyle w:val="BodyText"/>
        <w:spacing w:line="292" w:lineRule="auto" w:before="191"/>
        <w:ind w:right="665"/>
      </w:pPr>
      <w:r>
        <w:rPr>
          <w:color w:val="6E6158"/>
        </w:rPr>
        <w:t>Prior to joining Fennemore, Luis served as a judicial law clerk for the Honorable Joe Hardy, Jr.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Eighth</w:t>
      </w:r>
      <w:r>
        <w:rPr>
          <w:color w:val="6E6158"/>
          <w:spacing w:val="17"/>
        </w:rPr>
        <w:t> </w:t>
      </w:r>
      <w:r>
        <w:rPr>
          <w:color w:val="6E6158"/>
        </w:rPr>
        <w:t>Judicial</w:t>
      </w:r>
      <w:r>
        <w:rPr>
          <w:color w:val="6E6158"/>
          <w:spacing w:val="17"/>
        </w:rPr>
        <w:t> </w:t>
      </w:r>
      <w:r>
        <w:rPr>
          <w:color w:val="6E6158"/>
        </w:rPr>
        <w:t>District</w:t>
      </w:r>
      <w:r>
        <w:rPr>
          <w:color w:val="6E6158"/>
          <w:spacing w:val="17"/>
        </w:rPr>
        <w:t> </w:t>
      </w:r>
      <w:r>
        <w:rPr>
          <w:color w:val="6E6158"/>
        </w:rPr>
        <w:t>Court.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served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judicial</w:t>
      </w:r>
      <w:r>
        <w:rPr>
          <w:color w:val="6E6158"/>
          <w:spacing w:val="17"/>
        </w:rPr>
        <w:t> </w:t>
      </w:r>
      <w:r>
        <w:rPr>
          <w:color w:val="6E6158"/>
        </w:rPr>
        <w:t>intern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Honorable</w:t>
      </w:r>
      <w:r>
        <w:rPr>
          <w:color w:val="6E6158"/>
          <w:spacing w:val="17"/>
        </w:rPr>
        <w:t> </w:t>
      </w:r>
      <w:r>
        <w:rPr>
          <w:color w:val="6E6158"/>
        </w:rPr>
        <w:t>Nancy</w:t>
      </w:r>
      <w:r>
        <w:rPr>
          <w:color w:val="6E6158"/>
          <w:spacing w:val="17"/>
        </w:rPr>
        <w:t> </w:t>
      </w:r>
      <w:r>
        <w:rPr>
          <w:color w:val="6E6158"/>
        </w:rPr>
        <w:t>L.</w:t>
      </w:r>
    </w:p>
    <w:p>
      <w:pPr>
        <w:pStyle w:val="BodyText"/>
        <w:spacing w:line="302" w:lineRule="auto" w:before="1"/>
        <w:ind w:right="665"/>
      </w:pPr>
      <w:r>
        <w:rPr>
          <w:color w:val="6E6158"/>
        </w:rPr>
        <w:t>Allf, worked for several Nevada law firms on complex &amp; commercial litigation matters, and was a</w:t>
      </w:r>
      <w:r>
        <w:rPr>
          <w:color w:val="6E6158"/>
          <w:spacing w:val="40"/>
        </w:rPr>
        <w:t> </w:t>
      </w:r>
      <w:r>
        <w:rPr>
          <w:color w:val="6E6158"/>
        </w:rPr>
        <w:t>legal intern at Nevada State University’s Office of General Counsel.</w:t>
      </w:r>
    </w:p>
    <w:p>
      <w:pPr>
        <w:pStyle w:val="BodyText"/>
        <w:spacing w:line="292" w:lineRule="auto" w:before="186"/>
        <w:ind w:right="651"/>
      </w:pPr>
      <w:r>
        <w:rPr>
          <w:color w:val="6E6158"/>
        </w:rPr>
        <w:t>Prior to law school, Luis completed a 1-year fellowship at the Office of U.S. Senator Catherine</w:t>
      </w:r>
      <w:r>
        <w:rPr>
          <w:color w:val="6E6158"/>
          <w:spacing w:val="40"/>
        </w:rPr>
        <w:t> </w:t>
      </w:r>
      <w:r>
        <w:rPr>
          <w:color w:val="6E6158"/>
        </w:rPr>
        <w:t>Cortez Masto.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157664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5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William</w:t>
      </w:r>
      <w:r>
        <w:rPr>
          <w:color w:val="6E6158"/>
          <w:spacing w:val="10"/>
        </w:rPr>
        <w:t> </w:t>
      </w:r>
      <w:r>
        <w:rPr>
          <w:color w:val="6E6158"/>
        </w:rPr>
        <w:t>S.</w:t>
      </w:r>
      <w:r>
        <w:rPr>
          <w:color w:val="6E6158"/>
          <w:spacing w:val="10"/>
        </w:rPr>
        <w:t> </w:t>
      </w:r>
      <w:r>
        <w:rPr>
          <w:color w:val="6E6158"/>
        </w:rPr>
        <w:t>Boyd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Nevada,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Vegas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169678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545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B.S.,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Nevada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52pt;width:1.65pt;height:1.65pt;mso-position-horizontal-relative:page;mso-position-vertical-relative:paragraph;z-index:15730176" id="docshape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531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152926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418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lmontan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2025-01-06T16:52:56Z</dcterms:created>
  <dcterms:modified xsi:type="dcterms:W3CDTF">2025-01-06T16:52:56Z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