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24097" y="1369338"/>
                            <a:ext cx="205168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685" h="320675">
                                <a:moveTo>
                                  <a:pt x="205143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51431" y="320382"/>
                                </a:lnTo>
                                <a:lnTo>
                                  <a:pt x="2051431" y="315214"/>
                                </a:lnTo>
                                <a:close/>
                              </a:path>
                              <a:path w="2051685" h="320675">
                                <a:moveTo>
                                  <a:pt x="2051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51431" y="5168"/>
                                </a:lnTo>
                                <a:lnTo>
                                  <a:pt x="2051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MARC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MARRA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602.916.5450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602.916.5650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mmarra@fennemorelaw.com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549;top:2156;width:3231;height:505" id="docshape5" coordorigin="5550,2156" coordsize="3231,505" path="m8780,2653l5550,2653,5550,2661,8780,2661,8780,2653xm8780,2156l5550,2156,5550,2165,8780,2165,8780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MARC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MARRA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602.916.5450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602.916.5650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mmarra@fennemorelaw.com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8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MARC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A.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MARRA</w:t>
      </w:r>
    </w:p>
    <w:p>
      <w:pPr>
        <w:pStyle w:val="BodyText"/>
        <w:spacing w:before="147"/>
        <w:ind w:left="104"/>
      </w:pPr>
      <w:r>
        <w:rPr>
          <w:color w:val="6E6158"/>
        </w:rPr>
        <w:t>Marc</w:t>
      </w:r>
      <w:r>
        <w:rPr>
          <w:color w:val="6E6158"/>
          <w:spacing w:val="16"/>
        </w:rPr>
        <w:t> </w:t>
      </w:r>
      <w:r>
        <w:rPr>
          <w:color w:val="6E6158"/>
        </w:rPr>
        <w:t>has</w:t>
      </w:r>
      <w:r>
        <w:rPr>
          <w:color w:val="6E6158"/>
          <w:spacing w:val="17"/>
        </w:rPr>
        <w:t> </w:t>
      </w:r>
      <w:r>
        <w:rPr>
          <w:color w:val="6E6158"/>
        </w:rPr>
        <w:t>substantial</w:t>
      </w:r>
      <w:r>
        <w:rPr>
          <w:color w:val="6E6158"/>
          <w:spacing w:val="17"/>
        </w:rPr>
        <w:t> </w:t>
      </w:r>
      <w:r>
        <w:rPr>
          <w:color w:val="6E6158"/>
        </w:rPr>
        <w:t>experience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permitting,</w:t>
      </w:r>
      <w:r>
        <w:rPr>
          <w:color w:val="6E6158"/>
          <w:spacing w:val="17"/>
        </w:rPr>
        <w:t> </w:t>
      </w:r>
      <w:r>
        <w:rPr>
          <w:color w:val="6E6158"/>
        </w:rPr>
        <w:t>compliance,</w:t>
      </w:r>
      <w:r>
        <w:rPr>
          <w:color w:val="6E6158"/>
          <w:spacing w:val="17"/>
        </w:rPr>
        <w:t> </w:t>
      </w:r>
      <w:r>
        <w:rPr>
          <w:color w:val="6E6158"/>
        </w:rPr>
        <w:t>minerals</w:t>
      </w:r>
      <w:r>
        <w:rPr>
          <w:color w:val="6E6158"/>
          <w:spacing w:val="16"/>
        </w:rPr>
        <w:t> </w:t>
      </w:r>
      <w:r>
        <w:rPr>
          <w:color w:val="6E6158"/>
        </w:rPr>
        <w:t>exploration,</w:t>
      </w:r>
      <w:r>
        <w:rPr>
          <w:color w:val="6E6158"/>
          <w:spacing w:val="17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5" w:lineRule="auto" w:before="60"/>
        <w:ind w:left="104" w:right="774"/>
      </w:pPr>
      <w:r>
        <w:rPr>
          <w:color w:val="6E6158"/>
        </w:rPr>
        <w:t>development of lands relating to the National Environmental Policy Act, the Clean Water Act,</w:t>
      </w:r>
      <w:r>
        <w:rPr>
          <w:color w:val="6E6158"/>
          <w:spacing w:val="40"/>
        </w:rPr>
        <w:t> </w:t>
      </w:r>
      <w:r>
        <w:rPr>
          <w:color w:val="6E6158"/>
        </w:rPr>
        <w:t>the Endangered Species Act and Section 404 issues. His extensive work for clients seeking</w:t>
      </w:r>
      <w:r>
        <w:rPr>
          <w:color w:val="6E6158"/>
          <w:spacing w:val="40"/>
        </w:rPr>
        <w:t> </w:t>
      </w:r>
      <w:r>
        <w:rPr>
          <w:color w:val="6E6158"/>
        </w:rPr>
        <w:t>assistance with natural resources, environmental and renewable energy permitting and other</w:t>
      </w:r>
      <w:r>
        <w:rPr>
          <w:color w:val="6E6158"/>
          <w:spacing w:val="40"/>
        </w:rPr>
        <w:t> </w:t>
      </w:r>
      <w:r>
        <w:rPr>
          <w:color w:val="6E6158"/>
        </w:rPr>
        <w:t>issues relating to the commercial development of lands in the west is complemented by both</w:t>
      </w:r>
      <w:r>
        <w:rPr>
          <w:color w:val="6E6158"/>
          <w:spacing w:val="40"/>
        </w:rPr>
        <w:t> </w:t>
      </w:r>
      <w:r>
        <w:rPr>
          <w:color w:val="6E6158"/>
        </w:rPr>
        <w:t>private and public sector experience.</w:t>
      </w:r>
    </w:p>
    <w:p>
      <w:pPr>
        <w:pStyle w:val="BodyText"/>
        <w:spacing w:line="295" w:lineRule="auto" w:before="195"/>
        <w:ind w:left="104" w:right="573"/>
      </w:pPr>
      <w:r>
        <w:rPr>
          <w:color w:val="6E6158"/>
        </w:rPr>
        <w:t>Marc, initially trained as both an economist and engineer, served as an economics/engineering</w:t>
      </w:r>
      <w:r>
        <w:rPr>
          <w:color w:val="6E6158"/>
          <w:spacing w:val="40"/>
        </w:rPr>
        <w:t> </w:t>
      </w:r>
      <w:r>
        <w:rPr>
          <w:color w:val="6E6158"/>
        </w:rPr>
        <w:t>analyst for a Fortune 50 firm for many years prior to earning his law degree. His experience in a</w:t>
      </w:r>
      <w:r>
        <w:rPr>
          <w:color w:val="6E6158"/>
          <w:spacing w:val="40"/>
        </w:rPr>
        <w:t> </w:t>
      </w:r>
      <w:r>
        <w:rPr>
          <w:color w:val="6E6158"/>
        </w:rPr>
        <w:t>corporate environment has covered project evaluation and due diligence for mining and </w:t>
      </w:r>
      <w:r>
        <w:rPr>
          <w:color w:val="6E6158"/>
        </w:rPr>
        <w:t>other</w:t>
      </w:r>
      <w:r>
        <w:rPr>
          <w:color w:val="6E6158"/>
          <w:spacing w:val="40"/>
        </w:rPr>
        <w:t> </w:t>
      </w:r>
      <w:r>
        <w:rPr>
          <w:color w:val="6E6158"/>
        </w:rPr>
        <w:t>resource-based</w:t>
      </w:r>
      <w:r>
        <w:rPr>
          <w:color w:val="6E6158"/>
          <w:spacing w:val="40"/>
        </w:rPr>
        <w:t> </w:t>
      </w:r>
      <w:r>
        <w:rPr>
          <w:color w:val="6E6158"/>
        </w:rPr>
        <w:t>ventures,</w:t>
      </w:r>
      <w:r>
        <w:rPr>
          <w:color w:val="6E6158"/>
          <w:spacing w:val="40"/>
        </w:rPr>
        <w:t>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developments,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mergers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acquisitions.</w:t>
      </w:r>
    </w:p>
    <w:p>
      <w:pPr>
        <w:pStyle w:val="BodyText"/>
        <w:spacing w:line="295" w:lineRule="auto" w:before="196"/>
        <w:ind w:left="104" w:right="408"/>
      </w:pP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addition,</w:t>
      </w:r>
      <w:r>
        <w:rPr>
          <w:color w:val="6E6158"/>
          <w:spacing w:val="31"/>
        </w:rPr>
        <w:t> </w:t>
      </w:r>
      <w:r>
        <w:rPr>
          <w:color w:val="6E6158"/>
        </w:rPr>
        <w:t>his</w:t>
      </w:r>
      <w:r>
        <w:rPr>
          <w:color w:val="6E6158"/>
          <w:spacing w:val="31"/>
        </w:rPr>
        <w:t> </w:t>
      </w:r>
      <w:r>
        <w:rPr>
          <w:color w:val="6E6158"/>
        </w:rPr>
        <w:t>experience</w:t>
      </w:r>
      <w:r>
        <w:rPr>
          <w:color w:val="6E6158"/>
          <w:spacing w:val="31"/>
        </w:rPr>
        <w:t> </w:t>
      </w:r>
      <w:r>
        <w:rPr>
          <w:color w:val="6E6158"/>
        </w:rPr>
        <w:t>working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public</w:t>
      </w:r>
      <w:r>
        <w:rPr>
          <w:color w:val="6E6158"/>
          <w:spacing w:val="31"/>
        </w:rPr>
        <w:t> </w:t>
      </w:r>
      <w:r>
        <w:rPr>
          <w:color w:val="6E6158"/>
        </w:rPr>
        <w:t>sector</w:t>
      </w:r>
      <w:r>
        <w:rPr>
          <w:color w:val="6E6158"/>
          <w:spacing w:val="31"/>
        </w:rPr>
        <w:t> </w:t>
      </w:r>
      <w:r>
        <w:rPr>
          <w:color w:val="6E6158"/>
        </w:rPr>
        <w:t>overseeing</w:t>
      </w:r>
      <w:r>
        <w:rPr>
          <w:color w:val="6E6158"/>
          <w:spacing w:val="31"/>
        </w:rPr>
        <w:t> </w:t>
      </w:r>
      <w:r>
        <w:rPr>
          <w:color w:val="6E6158"/>
        </w:rPr>
        <w:t>federal</w:t>
      </w:r>
      <w:r>
        <w:rPr>
          <w:color w:val="6E6158"/>
          <w:spacing w:val="31"/>
        </w:rPr>
        <w:t> </w:t>
      </w:r>
      <w:r>
        <w:rPr>
          <w:color w:val="6E6158"/>
        </w:rPr>
        <w:t>trust</w:t>
      </w:r>
      <w:r>
        <w:rPr>
          <w:color w:val="6E6158"/>
          <w:spacing w:val="31"/>
        </w:rPr>
        <w:t> </w:t>
      </w:r>
      <w:r>
        <w:rPr>
          <w:color w:val="6E6158"/>
        </w:rPr>
        <w:t>mineral properties provides a helpful context working with clients whose issues intersect state and federal</w:t>
      </w:r>
      <w:r>
        <w:rPr>
          <w:color w:val="6E6158"/>
          <w:spacing w:val="40"/>
        </w:rPr>
        <w:t> </w:t>
      </w:r>
      <w:r>
        <w:rPr>
          <w:color w:val="6E6158"/>
        </w:rPr>
        <w:t>agencies</w:t>
      </w:r>
      <w:r>
        <w:rPr>
          <w:color w:val="6E6158"/>
          <w:spacing w:val="32"/>
        </w:rPr>
        <w:t> </w:t>
      </w:r>
      <w:r>
        <w:rPr>
          <w:color w:val="6E6158"/>
        </w:rPr>
        <w:t>such</w:t>
      </w:r>
      <w:r>
        <w:rPr>
          <w:color w:val="6E6158"/>
          <w:spacing w:val="32"/>
        </w:rPr>
        <w:t> </w:t>
      </w:r>
      <w:r>
        <w:rPr>
          <w:color w:val="6E6158"/>
        </w:rPr>
        <w:t>as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Bureau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Land</w:t>
      </w:r>
      <w:r>
        <w:rPr>
          <w:color w:val="6E6158"/>
          <w:spacing w:val="32"/>
        </w:rPr>
        <w:t> </w:t>
      </w:r>
      <w:r>
        <w:rPr>
          <w:color w:val="6E6158"/>
        </w:rPr>
        <w:t>Management,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Environmental</w:t>
      </w:r>
      <w:r>
        <w:rPr>
          <w:color w:val="6E6158"/>
          <w:spacing w:val="32"/>
        </w:rPr>
        <w:t> </w:t>
      </w:r>
      <w:r>
        <w:rPr>
          <w:color w:val="6E6158"/>
        </w:rPr>
        <w:t>Protection</w:t>
      </w:r>
      <w:r>
        <w:rPr>
          <w:color w:val="6E6158"/>
          <w:spacing w:val="32"/>
        </w:rPr>
        <w:t> </w:t>
      </w:r>
      <w:r>
        <w:rPr>
          <w:color w:val="6E6158"/>
        </w:rPr>
        <w:t>Agency,</w:t>
      </w:r>
      <w:r>
        <w:rPr>
          <w:color w:val="6E6158"/>
          <w:spacing w:val="32"/>
        </w:rPr>
        <w:t> </w:t>
      </w:r>
      <w:r>
        <w:rPr>
          <w:color w:val="6E6158"/>
        </w:rPr>
        <w:t>the Fish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Wildlife</w:t>
      </w:r>
      <w:r>
        <w:rPr>
          <w:color w:val="6E6158"/>
          <w:spacing w:val="32"/>
        </w:rPr>
        <w:t> </w:t>
      </w:r>
      <w:r>
        <w:rPr>
          <w:color w:val="6E6158"/>
        </w:rPr>
        <w:t>Service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Arizona</w:t>
      </w:r>
      <w:r>
        <w:rPr>
          <w:color w:val="6E6158"/>
          <w:spacing w:val="32"/>
        </w:rPr>
        <w:t> </w:t>
      </w:r>
      <w:r>
        <w:rPr>
          <w:color w:val="6E6158"/>
        </w:rPr>
        <w:t>Department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Environmental</w:t>
      </w:r>
      <w:r>
        <w:rPr>
          <w:color w:val="6E6158"/>
          <w:spacing w:val="32"/>
        </w:rPr>
        <w:t> </w:t>
      </w:r>
      <w:r>
        <w:rPr>
          <w:color w:val="6E6158"/>
        </w:rPr>
        <w:t>Quality,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many</w:t>
      </w:r>
    </w:p>
    <w:p>
      <w:pPr>
        <w:pStyle w:val="BodyText"/>
        <w:spacing w:before="1"/>
        <w:ind w:left="104"/>
      </w:pPr>
      <w:r>
        <w:rPr>
          <w:color w:val="6E6158"/>
          <w:spacing w:val="-2"/>
        </w:rPr>
        <w:t>others.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55"/>
        <w:ind w:right="27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158132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1357pt;width:1.65pt;height:1.65pt;mso-position-horizontal-relative:page;mso-position-vertical-relative:paragraph;z-index:15729152" id="docshape7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416497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5105pt;width:1.65pt;height:1.65pt;mso-position-horizontal-relative:page;mso-position-vertical-relative:paragraph;z-index:15729664" id="docshape8" coordorigin="1675,656" coordsize="33,33" path="m1696,688l1687,688,1683,687,1676,681,1675,677,1675,668,1676,664,1683,657,1687,656,1696,656,1699,657,1706,664,1707,668,1707,672,1707,677,1706,681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M.S., Mineral Economics, University of Arizona</w:t>
      </w:r>
    </w:p>
    <w:p>
      <w:pPr>
        <w:pStyle w:val="BodyText"/>
        <w:spacing w:line="420" w:lineRule="auto"/>
        <w:ind w:right="46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58697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1888pt;width:1.65pt;height:1.65pt;mso-position-horizontal-relative:page;mso-position-vertical-relative:paragraph;z-index:15730176" id="docshape9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317063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5637pt;width:1.65pt;height:1.65pt;mso-position-horizontal-relative:page;mso-position-vertical-relative:paragraph;z-index:15730688" id="docshape10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 Mining Engineering, University of </w:t>
      </w:r>
      <w:r>
        <w:rPr>
          <w:color w:val="6E6158"/>
        </w:rPr>
        <w:t>Arizona</w:t>
      </w:r>
      <w:r>
        <w:rPr>
          <w:color w:val="6E6158"/>
        </w:rPr>
        <w:t> Willard H. Pedrick Scholar, 2002-2003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62856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9293pt;width:1.65pt;height:1.65pt;mso-position-horizontal-relative:page;mso-position-vertical-relative:paragraph;z-index:15731200" id="docshape11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Rocky</w:t>
      </w:r>
      <w:r>
        <w:rPr>
          <w:color w:val="6E6158"/>
          <w:spacing w:val="15"/>
        </w:rPr>
        <w:t> </w:t>
      </w:r>
      <w:r>
        <w:rPr>
          <w:color w:val="6E6158"/>
        </w:rPr>
        <w:t>Mountain</w:t>
      </w:r>
      <w:r>
        <w:rPr>
          <w:color w:val="6E6158"/>
          <w:spacing w:val="16"/>
        </w:rPr>
        <w:t> </w:t>
      </w:r>
      <w:r>
        <w:rPr>
          <w:color w:val="6E6158"/>
        </w:rPr>
        <w:t>Mineral</w:t>
      </w:r>
      <w:r>
        <w:rPr>
          <w:color w:val="6E6158"/>
          <w:spacing w:val="16"/>
        </w:rPr>
        <w:t> </w:t>
      </w:r>
      <w:r>
        <w:rPr>
          <w:color w:val="6E6158"/>
        </w:rPr>
        <w:t>Law</w:t>
      </w:r>
      <w:r>
        <w:rPr>
          <w:color w:val="6E6158"/>
          <w:spacing w:val="16"/>
        </w:rPr>
        <w:t> </w:t>
      </w:r>
      <w:r>
        <w:rPr>
          <w:color w:val="6E6158"/>
        </w:rPr>
        <w:t>Foundation</w:t>
      </w:r>
      <w:r>
        <w:rPr>
          <w:color w:val="6E6158"/>
          <w:spacing w:val="16"/>
        </w:rPr>
        <w:t> </w:t>
      </w:r>
      <w:r>
        <w:rPr>
          <w:color w:val="6E6158"/>
        </w:rPr>
        <w:t>Joe</w:t>
      </w:r>
      <w:r>
        <w:rPr>
          <w:color w:val="6E6158"/>
          <w:spacing w:val="16"/>
        </w:rPr>
        <w:t> </w:t>
      </w:r>
      <w:r>
        <w:rPr>
          <w:color w:val="6E6158"/>
        </w:rPr>
        <w:t>Rudd</w:t>
      </w:r>
      <w:r>
        <w:rPr>
          <w:color w:val="6E6158"/>
          <w:spacing w:val="16"/>
        </w:rPr>
        <w:t> </w:t>
      </w:r>
      <w:r>
        <w:rPr>
          <w:color w:val="6E6158"/>
        </w:rPr>
        <w:t>Scholarship</w:t>
      </w:r>
      <w:r>
        <w:rPr>
          <w:color w:val="6E6158"/>
          <w:spacing w:val="16"/>
        </w:rPr>
        <w:t> </w:t>
      </w:r>
      <w:r>
        <w:rPr>
          <w:color w:val="6E6158"/>
        </w:rPr>
        <w:t>recipient,</w:t>
      </w:r>
      <w:r>
        <w:rPr>
          <w:color w:val="6E6158"/>
          <w:spacing w:val="16"/>
        </w:rPr>
        <w:t> </w:t>
      </w:r>
      <w:r>
        <w:rPr>
          <w:color w:val="6E6158"/>
        </w:rPr>
        <w:t>2002-</w:t>
      </w:r>
      <w:r>
        <w:rPr>
          <w:color w:val="6E6158"/>
          <w:spacing w:val="-4"/>
        </w:rPr>
        <w:t>2003</w:t>
      </w:r>
    </w:p>
    <w:p>
      <w:pPr>
        <w:pStyle w:val="BodyText"/>
        <w:spacing w:line="292" w:lineRule="auto" w:before="174"/>
        <w:ind w:right="9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170120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5337pt;width:1.65pt;height:1.65pt;mso-position-horizontal-relative:page;mso-position-vertical-relative:paragraph;z-index:15731712" id="docshape12" coordorigin="1675,268" coordsize="33,33" path="m1696,300l1687,300,1683,299,1676,293,1675,289,1675,280,1676,276,1683,269,1687,268,1696,268,1699,269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Sea-Use Law, Economics, and Policy Making (exams passed, thesis incomplete), </w:t>
      </w:r>
      <w:r>
        <w:rPr>
          <w:color w:val="6E6158"/>
        </w:rPr>
        <w:t>London School of Economics, 1987-1988</w:t>
      </w:r>
    </w:p>
    <w:p>
      <w:pPr>
        <w:pStyle w:val="Heading1"/>
        <w:spacing w:before="285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Title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54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224" id="docshape1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296465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34376pt;width:1.65pt;height:1.65pt;mso-position-horizontal-relative:page;mso-position-vertical-relative:paragraph;z-index:15732736" id="docshape14" coordorigin="1675,467" coordsize="33,33" path="m1696,499l1687,499,1683,498,1676,491,1675,488,1675,479,1676,475,1683,468,1687,467,1696,467,1699,468,1706,475,1707,479,1707,483,1707,488,1706,491,1699,498,1696,4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Renewable Energy and Clean </w:t>
      </w:r>
      <w:r>
        <w:rPr>
          <w:color w:val="6E6158"/>
        </w:rPr>
        <w:t>Tech Natural Resources</w:t>
      </w:r>
    </w:p>
    <w:p>
      <w:pPr>
        <w:pStyle w:val="BodyText"/>
        <w:spacing w:line="420" w:lineRule="auto" w:before="132"/>
        <w:ind w:right="77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82pt;width:1.65pt;height:1.65pt;mso-position-horizontal-relative:page;mso-position-vertical-relative:paragraph;z-index:15733248" id="docshape1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401545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7731pt;width:1.65pt;height:1.65pt;mso-position-horizontal-relative:page;mso-position-vertical-relative:paragraph;z-index:15733760" id="docshape16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Mining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Heading1"/>
        <w:spacing w:before="15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152912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371pt;width:1.65pt;height:1.65pt;mso-position-horizontal-relative:page;mso-position-vertical-relative:paragraph;z-index:15734272" id="docshape1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Natural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Resources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157510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244pt;width:1.65pt;height:1.65pt;mso-position-horizontal-relative:page;mso-position-vertical-relative:paragraph;z-index:15734784" id="docshape18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420" w:lineRule="auto" w:before="174"/>
        <w:ind w:right="46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170160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8484pt;width:1.65pt;height:1.65pt;mso-position-horizontal-relative:page;mso-position-vertical-relative:paragraph;z-index:15735296" id="docshape19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428526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42233pt;width:1.65pt;height:1.65pt;mso-position-horizontal-relative:page;mso-position-vertical-relative:paragraph;z-index:15735808" id="docshape20" coordorigin="1675,675" coordsize="33,33" path="m1696,707l1687,707,1683,706,1676,699,1675,696,1675,687,1676,683,1683,676,1687,675,1696,675,1699,676,1706,683,1707,687,1707,691,1707,696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Maricopa County Bar </w:t>
      </w:r>
      <w:r>
        <w:rPr>
          <w:color w:val="6E6158"/>
        </w:rPr>
        <w:t>Association Member, American Bar Association</w:t>
      </w:r>
    </w:p>
    <w:p>
      <w:pPr>
        <w:pStyle w:val="BodyText"/>
        <w:spacing w:line="427" w:lineRule="auto"/>
        <w:ind w:right="9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58661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9015pt;width:1.65pt;height:1.65pt;mso-position-horizontal-relative:page;mso-position-vertical-relative:paragraph;z-index:15736320" id="docshape21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322194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9638pt;width:1.65pt;height:1.65pt;mso-position-horizontal-relative:page;mso-position-vertical-relative:paragraph;z-index:15736832" id="docshape22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Arizona Department of Mines and Mineral Resources Board of Governors Member, Society for Mining, Metallurgy, and Exploration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53943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47558pt;width:1.65pt;height:1.65pt;mso-position-horizontal-relative:page;mso-position-vertical-relative:paragraph;z-index:15737344" id="docshape23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Rocky</w:t>
      </w:r>
      <w:r>
        <w:rPr>
          <w:color w:val="6E6158"/>
          <w:spacing w:val="10"/>
        </w:rPr>
        <w:t> </w:t>
      </w:r>
      <w:r>
        <w:rPr>
          <w:color w:val="6E6158"/>
        </w:rPr>
        <w:t>Mountain</w:t>
      </w:r>
      <w:r>
        <w:rPr>
          <w:color w:val="6E6158"/>
          <w:spacing w:val="10"/>
        </w:rPr>
        <w:t> </w:t>
      </w:r>
      <w:r>
        <w:rPr>
          <w:color w:val="6E6158"/>
        </w:rPr>
        <w:t>Mineral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Foundation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152375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039pt;width:1.65pt;height:1.65pt;mso-position-horizontal-relative:page;mso-position-vertical-relative:paragraph;z-index:15737856" id="docshape2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5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mmarra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2025-01-02T06:47:40Z</dcterms:created>
  <dcterms:modified xsi:type="dcterms:W3CDTF">2025-01-02T06:47:40Z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