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53" w:right="751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MATTHEW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WILCOX</w:t>
                              </w:r>
                            </w:p>
                            <w:p>
                              <w:pPr>
                                <w:spacing w:before="48"/>
                                <w:ind w:left="753" w:right="753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753" w:right="753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53" w:right="753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619.344.2980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619.231.4372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753" w:right="753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mwilcox@fennemorelaw.com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53" w:right="751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MATTHEW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WILCOX</w:t>
                        </w:r>
                      </w:p>
                      <w:p>
                        <w:pPr>
                          <w:spacing w:before="48"/>
                          <w:ind w:left="753" w:right="753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753" w:right="753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753" w:right="753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619.344.2980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619.231.4372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753" w:right="753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mwilcox@fennemorelaw.com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MATTHEW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WILCOX</w:t>
      </w:r>
    </w:p>
    <w:p>
      <w:pPr>
        <w:pStyle w:val="BodyText"/>
        <w:spacing w:line="302" w:lineRule="auto" w:before="147"/>
        <w:ind w:left="104" w:right="547"/>
      </w:pPr>
      <w:r>
        <w:rPr>
          <w:color w:val="6E6158"/>
        </w:rPr>
        <w:t>Matt Wilcox is the managing director in our San Diego office, where his practice focuses primarily</w:t>
      </w:r>
      <w:r>
        <w:rPr>
          <w:color w:val="6E6158"/>
          <w:spacing w:val="40"/>
        </w:rPr>
        <w:t> </w:t>
      </w:r>
      <w:r>
        <w:rPr>
          <w:color w:val="6E6158"/>
        </w:rPr>
        <w:t>on</w:t>
      </w:r>
      <w:r>
        <w:rPr>
          <w:color w:val="6E6158"/>
          <w:spacing w:val="30"/>
        </w:rPr>
        <w:t> </w:t>
      </w:r>
      <w:r>
        <w:rPr>
          <w:color w:val="6E6158"/>
        </w:rPr>
        <w:t>commercial,</w:t>
      </w:r>
      <w:r>
        <w:rPr>
          <w:color w:val="6E6158"/>
          <w:spacing w:val="30"/>
        </w:rPr>
        <w:t> </w:t>
      </w:r>
      <w:r>
        <w:rPr>
          <w:color w:val="6E6158"/>
        </w:rPr>
        <w:t>industrial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retail</w:t>
      </w:r>
      <w:r>
        <w:rPr>
          <w:color w:val="6E6158"/>
          <w:spacing w:val="30"/>
        </w:rPr>
        <w:t> </w:t>
      </w:r>
      <w:r>
        <w:rPr>
          <w:color w:val="6E6158"/>
        </w:rPr>
        <w:t>real</w:t>
      </w:r>
      <w:r>
        <w:rPr>
          <w:color w:val="6E6158"/>
          <w:spacing w:val="29"/>
        </w:rPr>
        <w:t> </w:t>
      </w:r>
      <w:r>
        <w:rPr>
          <w:color w:val="6E6158"/>
        </w:rPr>
        <w:t>estate</w:t>
      </w:r>
      <w:r>
        <w:rPr>
          <w:color w:val="6E6158"/>
          <w:spacing w:val="30"/>
        </w:rPr>
        <w:t> </w:t>
      </w:r>
      <w:r>
        <w:rPr>
          <w:color w:val="6E6158"/>
        </w:rPr>
        <w:t>transactional</w:t>
      </w:r>
      <w:r>
        <w:rPr>
          <w:color w:val="6E6158"/>
          <w:spacing w:val="30"/>
        </w:rPr>
        <w:t> </w:t>
      </w:r>
      <w:r>
        <w:rPr>
          <w:color w:val="6E6158"/>
        </w:rPr>
        <w:t>work,</w:t>
      </w:r>
      <w:r>
        <w:rPr>
          <w:color w:val="6E6158"/>
          <w:spacing w:val="29"/>
        </w:rPr>
        <w:t> </w:t>
      </w:r>
      <w:r>
        <w:rPr>
          <w:color w:val="6E6158"/>
        </w:rPr>
        <w:t>as</w:t>
      </w:r>
      <w:r>
        <w:rPr>
          <w:color w:val="6E6158"/>
          <w:spacing w:val="30"/>
        </w:rPr>
        <w:t> </w:t>
      </w:r>
      <w:r>
        <w:rPr>
          <w:color w:val="6E6158"/>
        </w:rPr>
        <w:t>well</w:t>
      </w:r>
      <w:r>
        <w:rPr>
          <w:color w:val="6E6158"/>
          <w:spacing w:val="30"/>
        </w:rPr>
        <w:t> </w:t>
      </w:r>
      <w:r>
        <w:rPr>
          <w:color w:val="6E6158"/>
        </w:rPr>
        <w:t>as</w:t>
      </w:r>
      <w:r>
        <w:rPr>
          <w:color w:val="6E6158"/>
          <w:spacing w:val="29"/>
        </w:rPr>
        <w:t> </w:t>
      </w:r>
      <w:r>
        <w:rPr>
          <w:color w:val="6E6158"/>
        </w:rPr>
        <w:t>general</w:t>
      </w:r>
      <w:r>
        <w:rPr>
          <w:color w:val="6E6158"/>
          <w:spacing w:val="30"/>
        </w:rPr>
        <w:t> </w:t>
      </w:r>
      <w:r>
        <w:rPr>
          <w:color w:val="6E6158"/>
        </w:rPr>
        <w:t>business,</w:t>
      </w:r>
    </w:p>
    <w:p>
      <w:pPr>
        <w:pStyle w:val="BodyText"/>
        <w:spacing w:line="292" w:lineRule="auto"/>
        <w:ind w:left="104" w:right="547"/>
      </w:pPr>
      <w:r>
        <w:rPr>
          <w:color w:val="6E6158"/>
        </w:rPr>
        <w:t>corporate,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financing</w:t>
      </w:r>
      <w:r>
        <w:rPr>
          <w:color w:val="6E6158"/>
          <w:spacing w:val="32"/>
        </w:rPr>
        <w:t> </w:t>
      </w:r>
      <w:r>
        <w:rPr>
          <w:color w:val="6E6158"/>
        </w:rPr>
        <w:t>matters.</w:t>
      </w:r>
      <w:r>
        <w:rPr>
          <w:color w:val="6E6158"/>
          <w:spacing w:val="32"/>
        </w:rPr>
        <w:t> </w:t>
      </w:r>
      <w:r>
        <w:rPr>
          <w:color w:val="6E6158"/>
        </w:rPr>
        <w:t>He</w:t>
      </w:r>
      <w:r>
        <w:rPr>
          <w:color w:val="6E6158"/>
          <w:spacing w:val="32"/>
        </w:rPr>
        <w:t> </w:t>
      </w:r>
      <w:r>
        <w:rPr>
          <w:color w:val="6E6158"/>
        </w:rPr>
        <w:t>is</w:t>
      </w:r>
      <w:r>
        <w:rPr>
          <w:color w:val="6E6158"/>
          <w:spacing w:val="32"/>
        </w:rPr>
        <w:t> </w:t>
      </w:r>
      <w:r>
        <w:rPr>
          <w:color w:val="6E6158"/>
        </w:rPr>
        <w:t>known</w:t>
      </w:r>
      <w:r>
        <w:rPr>
          <w:color w:val="6E6158"/>
          <w:spacing w:val="32"/>
        </w:rPr>
        <w:t> </w:t>
      </w:r>
      <w:r>
        <w:rPr>
          <w:color w:val="6E6158"/>
        </w:rPr>
        <w:t>as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practical,</w:t>
      </w:r>
      <w:r>
        <w:rPr>
          <w:color w:val="6E6158"/>
          <w:spacing w:val="32"/>
        </w:rPr>
        <w:t> </w:t>
      </w:r>
      <w:r>
        <w:rPr>
          <w:color w:val="6E6158"/>
        </w:rPr>
        <w:t>pragmatic,</w:t>
      </w:r>
      <w:r>
        <w:rPr>
          <w:color w:val="6E6158"/>
          <w:spacing w:val="32"/>
        </w:rPr>
        <w:t> </w:t>
      </w:r>
      <w:r>
        <w:rPr>
          <w:color w:val="6E6158"/>
        </w:rPr>
        <w:t>efficient</w:t>
      </w:r>
      <w:r>
        <w:rPr>
          <w:color w:val="6E6158"/>
          <w:spacing w:val="32"/>
        </w:rPr>
        <w:t> </w:t>
      </w:r>
      <w:r>
        <w:rPr>
          <w:color w:val="6E6158"/>
        </w:rPr>
        <w:t>problem solver who places a high value on client service, personal integrity, hard work and achieving our</w:t>
      </w:r>
      <w:r>
        <w:rPr>
          <w:color w:val="6E6158"/>
          <w:spacing w:val="40"/>
        </w:rPr>
        <w:t> </w:t>
      </w:r>
      <w:r>
        <w:rPr>
          <w:color w:val="6E6158"/>
        </w:rPr>
        <w:t>client’s business objectives.</w:t>
      </w:r>
    </w:p>
    <w:p>
      <w:pPr>
        <w:pStyle w:val="BodyText"/>
        <w:spacing w:before="196"/>
        <w:ind w:left="104"/>
      </w:pPr>
      <w:r>
        <w:rPr>
          <w:color w:val="6E6158"/>
        </w:rPr>
        <w:t>His</w:t>
      </w:r>
      <w:r>
        <w:rPr>
          <w:color w:val="6E6158"/>
          <w:spacing w:val="11"/>
        </w:rPr>
        <w:t> </w:t>
      </w:r>
      <w:r>
        <w:rPr>
          <w:color w:val="6E6158"/>
        </w:rPr>
        <w:t>practice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includes:</w:t>
      </w:r>
    </w:p>
    <w:p>
      <w:pPr>
        <w:pStyle w:val="BodyText"/>
        <w:spacing w:before="14"/>
        <w:ind w:left="0"/>
      </w:pPr>
    </w:p>
    <w:p>
      <w:pPr>
        <w:pStyle w:val="BodyText"/>
        <w:ind w:left="104"/>
      </w:pPr>
      <w:r>
        <w:rPr>
          <w:b/>
          <w:color w:val="6E6158"/>
        </w:rPr>
        <w:t>Real</w:t>
      </w:r>
      <w:r>
        <w:rPr>
          <w:b/>
          <w:color w:val="6E6158"/>
          <w:spacing w:val="13"/>
        </w:rPr>
        <w:t> </w:t>
      </w:r>
      <w:r>
        <w:rPr>
          <w:b/>
          <w:color w:val="6E6158"/>
        </w:rPr>
        <w:t>Estate.</w:t>
      </w:r>
      <w:r>
        <w:rPr>
          <w:b/>
          <w:color w:val="6E6158"/>
          <w:spacing w:val="13"/>
        </w:rPr>
        <w:t> </w:t>
      </w:r>
      <w:r>
        <w:rPr>
          <w:color w:val="6E6158"/>
        </w:rPr>
        <w:t>All</w:t>
      </w:r>
      <w:r>
        <w:rPr>
          <w:color w:val="6E6158"/>
          <w:spacing w:val="13"/>
        </w:rPr>
        <w:t> </w:t>
      </w:r>
      <w:r>
        <w:rPr>
          <w:color w:val="6E6158"/>
        </w:rPr>
        <w:t>aspects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commercial</w:t>
      </w:r>
      <w:r>
        <w:rPr>
          <w:color w:val="6E6158"/>
          <w:spacing w:val="13"/>
        </w:rPr>
        <w:t> </w:t>
      </w:r>
      <w:r>
        <w:rPr>
          <w:color w:val="6E6158"/>
        </w:rPr>
        <w:t>real</w:t>
      </w:r>
      <w:r>
        <w:rPr>
          <w:color w:val="6E6158"/>
          <w:spacing w:val="13"/>
        </w:rPr>
        <w:t> </w:t>
      </w:r>
      <w:r>
        <w:rPr>
          <w:color w:val="6E6158"/>
        </w:rPr>
        <w:t>estate</w:t>
      </w:r>
      <w:r>
        <w:rPr>
          <w:color w:val="6E6158"/>
          <w:spacing w:val="13"/>
        </w:rPr>
        <w:t> </w:t>
      </w:r>
      <w:r>
        <w:rPr>
          <w:color w:val="6E6158"/>
        </w:rPr>
        <w:t>transactions,</w:t>
      </w:r>
      <w:r>
        <w:rPr>
          <w:color w:val="6E6158"/>
          <w:spacing w:val="13"/>
        </w:rPr>
        <w:t> </w:t>
      </w:r>
      <w:r>
        <w:rPr>
          <w:color w:val="6E6158"/>
        </w:rPr>
        <w:t>including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acquisitions,</w:t>
      </w:r>
    </w:p>
    <w:p>
      <w:pPr>
        <w:pStyle w:val="BodyText"/>
        <w:spacing w:line="292" w:lineRule="auto" w:before="52"/>
        <w:ind w:left="104" w:right="448"/>
      </w:pPr>
      <w:r>
        <w:rPr>
          <w:color w:val="6E6158"/>
        </w:rPr>
        <w:t>dispositions, leasing, construction and financing of retail, residential (development), </w:t>
      </w:r>
      <w:r>
        <w:rPr>
          <w:color w:val="6E6158"/>
        </w:rPr>
        <w:t>commercial</w:t>
      </w:r>
      <w:r>
        <w:rPr>
          <w:color w:val="6E6158"/>
          <w:spacing w:val="40"/>
        </w:rPr>
        <w:t> </w:t>
      </w:r>
      <w:r>
        <w:rPr>
          <w:color w:val="6E6158"/>
        </w:rPr>
        <w:t>and industrial properties.</w:t>
      </w:r>
    </w:p>
    <w:p>
      <w:pPr>
        <w:pStyle w:val="BodyText"/>
        <w:spacing w:line="292" w:lineRule="auto" w:before="205"/>
        <w:ind w:left="104" w:right="687"/>
      </w:pPr>
      <w:r>
        <w:rPr>
          <w:b/>
          <w:color w:val="6E6158"/>
        </w:rPr>
        <w:t>Financing. </w:t>
      </w:r>
      <w:r>
        <w:rPr>
          <w:color w:val="6E6158"/>
        </w:rPr>
        <w:t>Secured and unsecured lending transactions; tax exempt bond </w:t>
      </w:r>
      <w:r>
        <w:rPr>
          <w:color w:val="6E6158"/>
        </w:rPr>
        <w:t>financing; construction and permanent financing.</w:t>
      </w:r>
    </w:p>
    <w:p>
      <w:pPr>
        <w:pStyle w:val="BodyText"/>
        <w:spacing w:line="292" w:lineRule="auto" w:before="196"/>
        <w:ind w:left="104" w:right="547"/>
      </w:pPr>
      <w:r>
        <w:rPr>
          <w:b/>
          <w:color w:val="6E6158"/>
        </w:rPr>
        <w:t>Business</w:t>
      </w:r>
      <w:r>
        <w:rPr>
          <w:color w:val="6E6158"/>
        </w:rPr>
        <w:t>. Business transactions, including entity formation, operational transactions, </w:t>
      </w:r>
      <w:r>
        <w:rPr>
          <w:color w:val="6E6158"/>
        </w:rPr>
        <w:t>acquisitions,</w:t>
      </w:r>
      <w:r>
        <w:rPr>
          <w:color w:val="6E6158"/>
          <w:spacing w:val="40"/>
        </w:rPr>
        <w:t> </w:t>
      </w:r>
      <w:r>
        <w:rPr>
          <w:color w:val="6E6158"/>
        </w:rPr>
        <w:t>sales and mergers.</w:t>
      </w:r>
    </w:p>
    <w:p>
      <w:pPr>
        <w:pStyle w:val="BodyText"/>
        <w:spacing w:line="292" w:lineRule="auto" w:before="205"/>
        <w:ind w:left="104" w:right="547"/>
      </w:pPr>
      <w:r>
        <w:rPr>
          <w:color w:val="6E6158"/>
        </w:rPr>
        <w:t>Matt has served as lead counsel for Fortune 500 companies in the successful acquisition and</w:t>
      </w:r>
      <w:r>
        <w:rPr>
          <w:color w:val="6E6158"/>
          <w:spacing w:val="40"/>
        </w:rPr>
        <w:t> </w:t>
      </w:r>
      <w:r>
        <w:rPr>
          <w:color w:val="6E6158"/>
        </w:rPr>
        <w:t>development of several hundred real estate projects throughout California. He also represents</w:t>
      </w:r>
      <w:r>
        <w:rPr>
          <w:color w:val="6E6158"/>
          <w:spacing w:val="40"/>
        </w:rPr>
        <w:t> </w:t>
      </w:r>
      <w:r>
        <w:rPr>
          <w:color w:val="6E6158"/>
        </w:rPr>
        <w:t>private</w:t>
      </w:r>
      <w:r>
        <w:rPr>
          <w:color w:val="6E6158"/>
          <w:spacing w:val="40"/>
        </w:rPr>
        <w:t> </w:t>
      </w:r>
      <w:r>
        <w:rPr>
          <w:color w:val="6E6158"/>
        </w:rPr>
        <w:t>universities,</w:t>
      </w:r>
      <w:r>
        <w:rPr>
          <w:color w:val="6E6158"/>
          <w:spacing w:val="40"/>
        </w:rPr>
        <w:t> </w:t>
      </w:r>
      <w:r>
        <w:rPr>
          <w:color w:val="6E6158"/>
        </w:rPr>
        <w:t>affordable</w:t>
      </w:r>
      <w:r>
        <w:rPr>
          <w:color w:val="6E6158"/>
          <w:spacing w:val="40"/>
        </w:rPr>
        <w:t> </w:t>
      </w:r>
      <w:r>
        <w:rPr>
          <w:color w:val="6E6158"/>
        </w:rPr>
        <w:t>housing</w:t>
      </w:r>
      <w:r>
        <w:rPr>
          <w:color w:val="6E6158"/>
          <w:spacing w:val="40"/>
        </w:rPr>
        <w:t> </w:t>
      </w:r>
      <w:r>
        <w:rPr>
          <w:color w:val="6E6158"/>
        </w:rPr>
        <w:t>developers,</w:t>
      </w:r>
      <w:r>
        <w:rPr>
          <w:color w:val="6E6158"/>
          <w:spacing w:val="40"/>
        </w:rPr>
        <w:t> </w:t>
      </w:r>
      <w:r>
        <w:rPr>
          <w:color w:val="6E6158"/>
        </w:rPr>
        <w:t>local</w:t>
      </w:r>
      <w:r>
        <w:rPr>
          <w:color w:val="6E6158"/>
          <w:spacing w:val="40"/>
        </w:rPr>
        <w:t> </w:t>
      </w:r>
      <w:r>
        <w:rPr>
          <w:color w:val="6E6158"/>
        </w:rPr>
        <w:t>businesses,</w:t>
      </w:r>
      <w:r>
        <w:rPr>
          <w:color w:val="6E6158"/>
          <w:spacing w:val="40"/>
        </w:rPr>
        <w:t> </w:t>
      </w:r>
      <w:r>
        <w:rPr>
          <w:color w:val="6E6158"/>
        </w:rPr>
        <w:t>regional</w:t>
      </w:r>
      <w:r>
        <w:rPr>
          <w:color w:val="6E6158"/>
          <w:spacing w:val="40"/>
        </w:rPr>
        <w:t> </w:t>
      </w:r>
      <w:r>
        <w:rPr>
          <w:color w:val="6E6158"/>
        </w:rPr>
        <w:t>real</w:t>
      </w:r>
      <w:r>
        <w:rPr>
          <w:color w:val="6E6158"/>
          <w:spacing w:val="40"/>
        </w:rPr>
        <w:t> </w:t>
      </w:r>
      <w:r>
        <w:rPr>
          <w:color w:val="6E6158"/>
        </w:rPr>
        <w:t>estate</w:t>
      </w:r>
    </w:p>
    <w:p>
      <w:pPr>
        <w:pStyle w:val="BodyText"/>
        <w:spacing w:line="292" w:lineRule="auto" w:before="10"/>
        <w:ind w:left="104" w:right="547"/>
      </w:pPr>
      <w:r>
        <w:rPr>
          <w:color w:val="6E6158"/>
        </w:rPr>
        <w:t>developers, and construction companies. Many of Matt’s clients have worked with him for </w:t>
      </w:r>
      <w:r>
        <w:rPr>
          <w:color w:val="6E6158"/>
        </w:rPr>
        <w:t>his</w:t>
      </w:r>
      <w:r>
        <w:rPr>
          <w:color w:val="6E6158"/>
          <w:spacing w:val="40"/>
        </w:rPr>
        <w:t> </w:t>
      </w:r>
      <w:r>
        <w:rPr>
          <w:color w:val="6E6158"/>
        </w:rPr>
        <w:t>entire career.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right="51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152865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6683pt;width:1.65pt;height:1.65pt;mso-position-horizontal-relative:page;mso-position-vertical-relative:paragraph;z-index:15729152" id="docshape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411231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0432pt;width:1.65pt;height:1.65pt;mso-position-horizontal-relative:page;mso-position-vertical-relative:paragraph;z-index:15729664" id="docshape8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San Diego School of </w:t>
      </w:r>
      <w:r>
        <w:rPr>
          <w:color w:val="6E6158"/>
        </w:rPr>
        <w:t>Law</w:t>
      </w:r>
      <w:r>
        <w:rPr>
          <w:color w:val="6E6158"/>
        </w:rPr>
        <w:t> B.S., California Baptist University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152526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947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2" w:lineRule="auto" w:before="147"/>
        <w:ind w:right="4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0688" id="docshape1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several multi-million dollar real estate purchase and sale transactions, as well as</w:t>
      </w:r>
      <w:r>
        <w:rPr>
          <w:color w:val="6E6158"/>
          <w:spacing w:val="40"/>
        </w:rPr>
        <w:t> </w:t>
      </w:r>
      <w:r>
        <w:rPr>
          <w:color w:val="6E6158"/>
        </w:rPr>
        <w:t>lease</w:t>
      </w:r>
      <w:r>
        <w:rPr>
          <w:color w:val="6E6158"/>
          <w:spacing w:val="34"/>
        </w:rPr>
        <w:t> </w:t>
      </w:r>
      <w:r>
        <w:rPr>
          <w:color w:val="6E6158"/>
        </w:rPr>
        <w:t>transactions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clients</w:t>
      </w:r>
      <w:r>
        <w:rPr>
          <w:color w:val="6E6158"/>
          <w:spacing w:val="34"/>
        </w:rPr>
        <w:t> </w:t>
      </w:r>
      <w:r>
        <w:rPr>
          <w:color w:val="6E6158"/>
        </w:rPr>
        <w:t>ranging</w:t>
      </w:r>
      <w:r>
        <w:rPr>
          <w:color w:val="6E6158"/>
          <w:spacing w:val="34"/>
        </w:rPr>
        <w:t> </w:t>
      </w:r>
      <w:r>
        <w:rPr>
          <w:color w:val="6E6158"/>
        </w:rPr>
        <w:t>from</w:t>
      </w:r>
      <w:r>
        <w:rPr>
          <w:color w:val="6E6158"/>
          <w:spacing w:val="34"/>
        </w:rPr>
        <w:t> </w:t>
      </w:r>
      <w:r>
        <w:rPr>
          <w:color w:val="6E6158"/>
        </w:rPr>
        <w:t>regional</w:t>
      </w:r>
      <w:r>
        <w:rPr>
          <w:color w:val="6E6158"/>
          <w:spacing w:val="34"/>
        </w:rPr>
        <w:t> </w:t>
      </w:r>
      <w:r>
        <w:rPr>
          <w:color w:val="6E6158"/>
        </w:rPr>
        <w:t>developers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Fortune</w:t>
      </w:r>
      <w:r>
        <w:rPr>
          <w:color w:val="6E6158"/>
          <w:spacing w:val="34"/>
        </w:rPr>
        <w:t> </w:t>
      </w:r>
      <w:r>
        <w:rPr>
          <w:color w:val="6E6158"/>
        </w:rPr>
        <w:t>500</w:t>
      </w:r>
      <w:r>
        <w:rPr>
          <w:color w:val="6E6158"/>
          <w:spacing w:val="34"/>
        </w:rPr>
        <w:t> </w:t>
      </w:r>
      <w:r>
        <w:rPr>
          <w:color w:val="6E6158"/>
        </w:rPr>
        <w:t>companies.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142888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091pt;width:1.65pt;height:1.65pt;mso-position-horizontal-relative:page;mso-position-vertical-relative:paragraph;z-index:15731200" id="docshape1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6"/>
        </w:rPr>
        <w:t> </w:t>
      </w:r>
      <w:r>
        <w:rPr>
          <w:color w:val="6E6158"/>
        </w:rPr>
        <w:t>private</w:t>
      </w:r>
      <w:r>
        <w:rPr>
          <w:color w:val="6E6158"/>
          <w:spacing w:val="16"/>
        </w:rPr>
        <w:t> </w:t>
      </w:r>
      <w:r>
        <w:rPr>
          <w:color w:val="6E6158"/>
        </w:rPr>
        <w:t>universities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numerous</w:t>
      </w:r>
      <w:r>
        <w:rPr>
          <w:color w:val="6E6158"/>
          <w:spacing w:val="16"/>
        </w:rPr>
        <w:t> </w:t>
      </w:r>
      <w:r>
        <w:rPr>
          <w:color w:val="6E6158"/>
        </w:rPr>
        <w:t>multi-million</w:t>
      </w:r>
      <w:r>
        <w:rPr>
          <w:color w:val="6E6158"/>
          <w:spacing w:val="16"/>
        </w:rPr>
        <w:t> </w:t>
      </w:r>
      <w:r>
        <w:rPr>
          <w:color w:val="6E6158"/>
        </w:rPr>
        <w:t>dollar</w:t>
      </w:r>
      <w:r>
        <w:rPr>
          <w:color w:val="6E6158"/>
          <w:spacing w:val="17"/>
        </w:rPr>
        <w:t> </w:t>
      </w:r>
      <w:r>
        <w:rPr>
          <w:color w:val="6E6158"/>
        </w:rPr>
        <w:t>tax-exempt</w:t>
      </w:r>
      <w:r>
        <w:rPr>
          <w:color w:val="6E6158"/>
          <w:spacing w:val="16"/>
        </w:rPr>
        <w:t> </w:t>
      </w:r>
      <w:r>
        <w:rPr>
          <w:color w:val="6E6158"/>
        </w:rPr>
        <w:t>bond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transactions.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5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152782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103pt;width:1.65pt;height:1.65pt;mso-position-horizontal-relative:page;mso-position-vertical-relative:paragraph;z-index:15731712" id="docshape1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Program Co-Chair, Law Seminars International Conference, “Commercial Real Estate </w:t>
      </w:r>
      <w:r>
        <w:rPr>
          <w:color w:val="6E6158"/>
        </w:rPr>
        <w:t>Leases,” </w:t>
      </w:r>
      <w:r>
        <w:rPr>
          <w:color w:val="6E6158"/>
          <w:spacing w:val="-4"/>
        </w:rPr>
        <w:t>2012</w:t>
      </w:r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152359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809pt;width:1.65pt;height:1.65pt;mso-position-horizontal-relative:page;mso-position-vertical-relative:paragraph;z-index:15732224" id="docshape13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170089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2854pt;width:1.65pt;height:1.65pt;mso-position-horizontal-relative:page;mso-position-vertical-relative:paragraph;z-index:15732736" id="docshape14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Visitors,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Baptist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line="420" w:lineRule="auto" w:before="174"/>
        <w:ind w:right="36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170039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8898pt;width:1.65pt;height:1.65pt;mso-position-horizontal-relative:page;mso-position-vertical-relative:paragraph;z-index:15733248" id="docshape15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428404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32647pt;width:1.65pt;height:1.65pt;mso-position-horizontal-relative:page;mso-position-vertical-relative:paragraph;z-index:15733760" id="docshape16" coordorigin="1675,675" coordsize="33,33" path="m1696,707l1687,707,1683,706,1676,699,1675,695,1675,686,1676,683,1683,676,1687,675,1696,675,1699,676,1706,683,1707,686,1707,691,1707,695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International Council of Shopping Centers </w:t>
      </w:r>
      <w:r>
        <w:rPr>
          <w:color w:val="6E6158"/>
        </w:rPr>
        <w:t>(ICSC) Past Board Member, Rotary Club of Riverside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63707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6303pt;width:1.65pt;height:1.65pt;mso-position-horizontal-relative:page;mso-position-vertical-relative:paragraph;z-index:15734272" id="docshape17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8"/>
        </w:rPr>
        <w:t> </w:t>
      </w:r>
      <w:r>
        <w:rPr>
          <w:color w:val="6E6158"/>
        </w:rPr>
        <w:t>Board</w:t>
      </w:r>
      <w:r>
        <w:rPr>
          <w:color w:val="6E6158"/>
          <w:spacing w:val="10"/>
        </w:rPr>
        <w:t> </w: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Kamali’i</w:t>
      </w:r>
      <w:r>
        <w:rPr>
          <w:color w:val="6E6158"/>
          <w:spacing w:val="11"/>
        </w:rPr>
        <w:t> </w:t>
      </w:r>
      <w:r>
        <w:rPr>
          <w:color w:val="6E6158"/>
        </w:rPr>
        <w:t>Foster</w:t>
      </w:r>
      <w:r>
        <w:rPr>
          <w:color w:val="6E6158"/>
          <w:spacing w:val="10"/>
        </w:rPr>
        <w:t> </w:t>
      </w:r>
      <w:r>
        <w:rPr>
          <w:color w:val="6E6158"/>
        </w:rPr>
        <w:t>Family</w:t>
      </w:r>
      <w:r>
        <w:rPr>
          <w:color w:val="6E6158"/>
          <w:spacing w:val="10"/>
        </w:rPr>
        <w:t> </w:t>
      </w:r>
      <w:r>
        <w:rPr>
          <w:color w:val="6E6158"/>
        </w:rPr>
        <w:t>Agency,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Inc.,</w:t>
      </w:r>
    </w:p>
    <w:p>
      <w:pPr>
        <w:pStyle w:val="BodyText"/>
        <w:spacing w:line="292" w:lineRule="auto" w:before="173"/>
        <w:ind w:right="5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169701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2348pt;width:1.65pt;height:1.65pt;mso-position-horizontal-relative:page;mso-position-vertical-relative:paragraph;z-index:15734784" id="docshape1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Secretary, Chair of Board Development Committee, Mary S. Roberts Pet Adoption Center</w:t>
      </w:r>
    </w:p>
    <w:p>
      <w:pPr>
        <w:pStyle w:val="BodyText"/>
        <w:spacing w:line="427" w:lineRule="auto" w:before="124"/>
        <w:ind w:right="19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138129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6321pt;width:1.65pt;height:1.65pt;mso-position-horizontal-relative:page;mso-position-vertical-relative:paragraph;z-index:15735296" id="docshape19" coordorigin="1675,218" coordsize="33,33" path="m1696,250l1687,250,1683,248,1676,242,1675,238,1675,229,1676,225,1683,219,1687,218,1696,218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401662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26945pt;width:1.65pt;height:1.65pt;mso-position-horizontal-relative:page;mso-position-vertical-relative:paragraph;z-index:15735808" id="docshape20" coordorigin="1675,633" coordsize="33,33" path="m1696,665l1687,665,1683,663,1676,657,1675,653,1675,644,1676,640,1683,634,1687,633,1696,633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President and Board Member, Inland Caregiver Resource </w:t>
      </w:r>
      <w:r>
        <w:rPr>
          <w:color w:val="6E6158"/>
        </w:rPr>
        <w:t>Center Leadership Riverside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54671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4864pt;width:1.65pt;height:1.65pt;mso-position-horizontal-relative:page;mso-position-vertical-relative:paragraph;z-index:15736320" id="docshape21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9"/>
        </w:rPr>
        <w:t> </w:t>
      </w:r>
      <w:r>
        <w:rPr>
          <w:color w:val="6E6158"/>
        </w:rPr>
        <w:t>Board</w:t>
      </w:r>
      <w:r>
        <w:rPr>
          <w:color w:val="6E6158"/>
          <w:spacing w:val="10"/>
        </w:rPr>
        <w:t> </w: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Arrowhead</w:t>
      </w:r>
      <w:r>
        <w:rPr>
          <w:color w:val="6E6158"/>
          <w:spacing w:val="10"/>
        </w:rPr>
        <w:t> </w:t>
      </w:r>
      <w:r>
        <w:rPr>
          <w:color w:val="6E6158"/>
        </w:rPr>
        <w:t>United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Way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6"/>
        <w:ind w:right="74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152467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315pt;width:1.65pt;height:1.65pt;mso-position-horizontal-relative:page;mso-position-vertical-relative:paragraph;z-index:15736832" id="docshape2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416000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5939pt;width:1.65pt;height:1.65pt;mso-position-horizontal-relative:page;mso-position-vertical-relative:paragraph;z-index:15737344" id="docshape23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Washington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55039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33858pt;width:1.65pt;height:1.65pt;mso-position-horizontal-relative:page;mso-position-vertical-relative:paragraph;z-index:15737856" id="docshape24" coordorigin="1675,87" coordsize="33,33" path="m1696,119l1687,119,1683,118,1676,111,1675,107,1675,98,1676,95,1683,88,1687,87,1696,87,1699,88,1706,95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mwilcox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2025-01-14T20:00:25Z</dcterms:created>
  <dcterms:modified xsi:type="dcterms:W3CDTF">2025-01-14T20:00:25Z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ConvertAPI</vt:lpwstr>
  </property>
</Properties>
</file>