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MINNA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myang@fennemorelaw.com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39;top:2156;width:3052;height:505" id="docshape5" coordorigin="5639,2156" coordsize="3052,505" path="m8691,2653l5639,2653,5639,2661,8691,2661,8691,2653xm8691,2156l5639,2156,5639,2165,8691,2165,869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MINNA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myang@fennemorelaw.com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MINNA</w:t>
      </w:r>
      <w:r>
        <w:rPr>
          <w:color w:val="FF8100"/>
          <w:spacing w:val="6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YANG</w:t>
      </w:r>
    </w:p>
    <w:p>
      <w:pPr>
        <w:pStyle w:val="BodyText"/>
        <w:spacing w:line="302" w:lineRule="auto" w:before="147"/>
        <w:ind w:left="104" w:right="748"/>
      </w:pPr>
      <w:r>
        <w:rPr>
          <w:color w:val="6E6158"/>
        </w:rPr>
        <w:t>Minna C. Yang is a Director in the Sacramento Office working in Fennemore’s tax practice group.</w:t>
      </w:r>
      <w:r>
        <w:rPr>
          <w:color w:val="6E6158"/>
          <w:spacing w:val="40"/>
        </w:rPr>
        <w:t> 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30</w:t>
      </w:r>
      <w:r>
        <w:rPr>
          <w:color w:val="6E6158"/>
          <w:spacing w:val="14"/>
        </w:rPr>
        <w:t> </w:t>
      </w:r>
      <w:r>
        <w:rPr>
          <w:color w:val="6E6158"/>
        </w:rPr>
        <w:t>years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CPA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attorney,</w:t>
      </w:r>
      <w:r>
        <w:rPr>
          <w:color w:val="6E6158"/>
          <w:spacing w:val="14"/>
        </w:rPr>
        <w:t> </w:t>
      </w:r>
      <w:r>
        <w:rPr>
          <w:color w:val="6E6158"/>
        </w:rPr>
        <w:t>Minna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experienced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income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business,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transactions.</w:t>
      </w:r>
    </w:p>
    <w:p>
      <w:pPr>
        <w:pStyle w:val="BodyText"/>
        <w:spacing w:before="52"/>
        <w:ind w:left="104"/>
      </w:pPr>
      <w:r>
        <w:rPr>
          <w:color w:val="6E6158"/>
        </w:rPr>
        <w:t>Minna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efficiency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timely</w:t>
      </w:r>
      <w:r>
        <w:rPr>
          <w:color w:val="6E6158"/>
          <w:spacing w:val="13"/>
        </w:rPr>
        <w:t> </w:t>
      </w:r>
      <w:r>
        <w:rPr>
          <w:color w:val="6E6158"/>
        </w:rPr>
        <w:t>execution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transactions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restructuring. Working often with multi-generation enterprises, she ensures that client projects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completed</w:t>
      </w:r>
      <w:r>
        <w:rPr>
          <w:color w:val="6E6158"/>
          <w:spacing w:val="35"/>
        </w:rPr>
        <w:t> </w:t>
      </w:r>
      <w:r>
        <w:rPr>
          <w:color w:val="6E6158"/>
        </w:rPr>
        <w:t>within</w:t>
      </w:r>
      <w:r>
        <w:rPr>
          <w:color w:val="6E6158"/>
          <w:spacing w:val="35"/>
        </w:rPr>
        <w:t> </w:t>
      </w:r>
      <w:r>
        <w:rPr>
          <w:color w:val="6E6158"/>
        </w:rPr>
        <w:t>critical</w:t>
      </w:r>
      <w:r>
        <w:rPr>
          <w:color w:val="6E6158"/>
          <w:spacing w:val="35"/>
        </w:rPr>
        <w:t> </w:t>
      </w:r>
      <w:r>
        <w:rPr>
          <w:color w:val="6E6158"/>
        </w:rPr>
        <w:t>deadlines</w:t>
      </w:r>
      <w:r>
        <w:rPr>
          <w:color w:val="6E6158"/>
          <w:spacing w:val="35"/>
        </w:rPr>
        <w:t> </w:t>
      </w:r>
      <w:r>
        <w:rPr>
          <w:color w:val="6E6158"/>
        </w:rPr>
        <w:t>thus</w:t>
      </w:r>
      <w:r>
        <w:rPr>
          <w:color w:val="6E6158"/>
          <w:spacing w:val="35"/>
        </w:rPr>
        <w:t> </w:t>
      </w:r>
      <w:r>
        <w:rPr>
          <w:color w:val="6E6158"/>
        </w:rPr>
        <w:t>adding</w:t>
      </w:r>
      <w:r>
        <w:rPr>
          <w:color w:val="6E6158"/>
          <w:spacing w:val="35"/>
        </w:rPr>
        <w:t> </w:t>
      </w:r>
      <w:r>
        <w:rPr>
          <w:color w:val="6E6158"/>
        </w:rPr>
        <w:t>significant</w:t>
      </w:r>
      <w:r>
        <w:rPr>
          <w:color w:val="6E6158"/>
          <w:spacing w:val="35"/>
        </w:rPr>
        <w:t> </w:t>
      </w:r>
      <w:r>
        <w:rPr>
          <w:color w:val="6E6158"/>
        </w:rPr>
        <w:t>value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2" w:lineRule="auto" w:before="1"/>
        <w:ind w:left="104" w:right="757"/>
      </w:pPr>
      <w:r>
        <w:rPr>
          <w:color w:val="6E6158"/>
        </w:rPr>
        <w:t>Areas of specific knowledge include Like-Kind Exchanges, Qualified Opportunity Zone </w:t>
      </w:r>
      <w:r>
        <w:rPr>
          <w:color w:val="6E6158"/>
        </w:rPr>
        <w:t>Funds,</w:t>
      </w:r>
      <w:r>
        <w:rPr>
          <w:color w:val="6E6158"/>
          <w:spacing w:val="40"/>
        </w:rPr>
        <w:t> </w:t>
      </w:r>
      <w:r>
        <w:rPr>
          <w:color w:val="6E6158"/>
        </w:rPr>
        <w:t>and Pass-Through Entity Taxation.</w:t>
      </w:r>
    </w:p>
    <w:p>
      <w:pPr>
        <w:pStyle w:val="BodyText"/>
        <w:spacing w:line="292" w:lineRule="auto" w:before="204"/>
        <w:ind w:left="104" w:right="757"/>
      </w:pPr>
      <w:r>
        <w:rPr>
          <w:color w:val="6E6158"/>
        </w:rPr>
        <w:t>Minna enjoys working with families and business owners to accomplish their succession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objectives in a tax-efficient manner.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When not working Minna enjoys spending time with family over delicious food and attending </w:t>
      </w:r>
      <w:r>
        <w:rPr>
          <w:color w:val="6E6158"/>
        </w:rPr>
        <w:t>live</w:t>
      </w:r>
      <w:r>
        <w:rPr>
          <w:color w:val="6E6158"/>
          <w:spacing w:val="40"/>
        </w:rPr>
        <w:t> </w:t>
      </w:r>
      <w:r>
        <w:rPr>
          <w:color w:val="6E6158"/>
        </w:rPr>
        <w:t>performances of music and theater.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8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Lincoln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right="4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170125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733pt;width:1.65pt;height:1.65pt;mso-position-horizontal-relative:page;mso-position-vertical-relative:paragraph;z-index:15729664" id="docshape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428491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9483pt;width:1.65pt;height:1.65pt;mso-position-horizontal-relative:page;mso-position-vertical-relative:paragraph;z-index:15730176" id="docshape9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Taxation, Golden Gate University, San </w:t>
      </w:r>
      <w:r>
        <w:rPr>
          <w:color w:val="6E6158"/>
        </w:rPr>
        <w:t>Francisco</w:t>
      </w:r>
      <w:r>
        <w:rPr>
          <w:color w:val="6E6158"/>
        </w:rPr>
        <w:t> B.S., California State University, Sacramento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152641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996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411006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2747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669372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6493pt;width:1.65pt;height:1.65pt;mso-position-horizontal-relative:page;mso-position-vertical-relative:paragraph;z-index:15731712" id="docshape12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57782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9793pt;width:1.65pt;height:1.65pt;mso-position-horizontal-relative:page;mso-position-vertical-relative:paragraph;z-index:15732224" id="docshape13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914pt;width:1.65pt;height:1.65pt;mso-position-horizontal-relative:page;mso-position-vertical-relative:paragraph;z-index:15732736" id="docshape1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433268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662pt;width:1.65pt;height:1.65pt;mso-position-horizontal-relative:page;mso-position-vertical-relative:paragraph;z-index:15733248" id="docshape1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4272" id="docshape1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“Musings on Implications of the Repeal of the Technical Termination Provisions Under IRC 708 for 1031 Exchanges,” Firm Newsletter, June 17, 2019</w:t>
      </w:r>
    </w:p>
    <w:p>
      <w:pPr>
        <w:pStyle w:val="BodyText"/>
        <w:spacing w:line="420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131004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319pt;width:1.65pt;height:1.65pt;mso-position-horizontal-relative:page;mso-position-vertical-relative:paragraph;z-index:15734784" id="docshape1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389370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9067pt;width:1.65pt;height:1.65pt;mso-position-horizontal-relative:page;mso-position-vertical-relative:paragraph;z-index:15735296" id="docshape19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“Partnership Allocation Rules – Impact of Recent Regulations,” November 15, </w:t>
      </w:r>
      <w:r>
        <w:rPr>
          <w:color w:val="6E6158"/>
        </w:rPr>
        <w:t>2017 Presenter, Honey, I Forgot About the Income Tax!” Firm Presentation, February 25, 2016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3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157969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582pt;width:1.65pt;height:1.65pt;mso-position-horizontal-relative:page;mso-position-vertical-relative:paragraph;z-index:15735808" id="docshape2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416335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333pt;width:1.65pt;height:1.65pt;mso-position-horizontal-relative:page;mso-position-vertical-relative:paragraph;z-index:15736320" id="docshape2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of Certified Public Accountants 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Institute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Certified</w:t>
      </w:r>
      <w:r>
        <w:rPr>
          <w:color w:val="6E6158"/>
          <w:spacing w:val="10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Accountants</w:t>
      </w:r>
    </w:p>
    <w:p>
      <w:pPr>
        <w:pStyle w:val="BodyText"/>
        <w:spacing w:line="420" w:lineRule="auto"/>
        <w:ind w:right="19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113pt;width:1.65pt;height:1.65pt;mso-position-horizontal-relative:page;mso-position-vertical-relative:paragraph;z-index:15736832" id="docshape2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316901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2862pt;width:1.65pt;height:1.65pt;mso-position-horizontal-relative:page;mso-position-vertical-relative:paragraph;z-index:15737344" id="docshape23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and Business Sections, Sacramento County Bar </w:t>
      </w:r>
      <w:r>
        <w:rPr>
          <w:color w:val="6E6158"/>
        </w:rPr>
        <w:t>Association Member, Tax Section, State Bar of California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62693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6519pt;width:1.65pt;height:1.65pt;mso-position-horizontal-relative:page;mso-position-vertical-relative:paragraph;z-index:15737856" id="docshape24" coordorigin="1675,99" coordsize="33,33" path="m1696,131l1687,131,1683,130,1676,123,1675,119,1675,111,1676,107,1683,100,1687,99,1696,99,1699,100,1706,107,1707,111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Adjunct</w:t>
      </w:r>
      <w:r>
        <w:rPr>
          <w:color w:val="6E6158"/>
          <w:spacing w:val="11"/>
        </w:rPr>
        <w:t> </w:t>
      </w:r>
      <w:r>
        <w:rPr>
          <w:color w:val="6E6158"/>
        </w:rPr>
        <w:t>Instructor,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0"/>
        </w:rPr>
        <w:t> </w:t>
      </w:r>
      <w:r>
        <w:rPr>
          <w:color w:val="6E6158"/>
        </w:rPr>
        <w:t>Gate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2003-</w:t>
      </w:r>
      <w:r>
        <w:rPr>
          <w:color w:val="6E6158"/>
          <w:spacing w:val="-4"/>
        </w:rPr>
        <w:t>2005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152597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531pt;width:1.65pt;height:1.65pt;mso-position-horizontal-relative:page;mso-position-vertical-relative:paragraph;z-index:1573836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169692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75pt;width:1.65pt;height:1.65pt;mso-position-horizontal-relative:page;mso-position-vertical-relative:paragraph;z-index:15738880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170276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619pt;width:1.65pt;height:1.65pt;mso-position-horizontal-relative:page;mso-position-vertical-relative:paragraph;z-index:15739392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Accountant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ya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2025-01-07T15:25:36Z</dcterms:created>
  <dcterms:modified xsi:type="dcterms:W3CDTF">2025-01-07T15:25:36Z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