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031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03140"/>
                          <a:chExt cx="6066790" cy="48031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14642" y="763308"/>
                            <a:ext cx="128333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PAUL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CLIFF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909.890.4499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909.890.9877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86706" y="2490038"/>
                            <a:ext cx="1339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pcliff@fennemorelaw.com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66853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01193" y="3745695"/>
                            <a:ext cx="348043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Ethics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knowing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difference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between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right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what is right to do.</w:t>
                              </w:r>
                            </w:p>
                            <w:p>
                              <w:pPr>
                                <w:spacing w:before="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Potter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Stewart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66853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8.2pt;mso-position-horizontal-relative:page;mso-position-vertical-relative:page;z-index:-15800320" id="docshapegroup1" coordorigin="1341,560" coordsize="9554,7564">
                <v:rect style="position:absolute;left:1341;top:5523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06;top:1762;width:2021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PAUL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CLIFF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909.890.4499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909.890.9877</w:t>
                        </w:r>
                      </w:p>
                    </w:txbxContent>
                  </v:textbox>
                  <w10:wrap type="none"/>
                </v:shape>
                <v:shape style="position:absolute;left:7462;top:4481;width:2109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pcliff@fennemorelaw.com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37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90;top:6458;width:5481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Ethics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knowing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difference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between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have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right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 </w:t>
                        </w:r>
                        <w:r>
                          <w:rPr>
                            <w:color w:val="FFFFFF"/>
                            <w:sz w:val="16"/>
                          </w:rPr>
                          <w:t>what is right to do.</w:t>
                        </w:r>
                      </w:p>
                      <w:p>
                        <w:pPr>
                          <w:spacing w:before="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Potter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Stewart</w:t>
                        </w:r>
                      </w:p>
                    </w:txbxContent>
                  </v:textbox>
                  <w10:wrap type="none"/>
                </v:shape>
                <v:shape style="position:absolute;left:8986;top:6337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56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FF8100"/>
        </w:rPr>
        <w:t>PAUL</w:t>
      </w:r>
      <w:r>
        <w:rPr>
          <w:color w:val="FF8100"/>
          <w:spacing w:val="6"/>
        </w:rPr>
        <w:t> </w:t>
      </w:r>
      <w:r>
        <w:rPr>
          <w:color w:val="FF8100"/>
          <w:spacing w:val="-4"/>
        </w:rPr>
        <w:t>CLIFF</w:t>
      </w:r>
    </w:p>
    <w:p>
      <w:pPr>
        <w:pStyle w:val="BodyText"/>
        <w:spacing w:line="297" w:lineRule="auto" w:before="146"/>
        <w:ind w:left="104" w:right="203"/>
      </w:pPr>
      <w:r>
        <w:rPr>
          <w:color w:val="6E6158"/>
        </w:rPr>
        <w:t>Paul</w:t>
      </w:r>
      <w:r>
        <w:rPr>
          <w:color w:val="6E6158"/>
          <w:spacing w:val="21"/>
        </w:rPr>
        <w:t> </w:t>
      </w:r>
      <w:r>
        <w:rPr>
          <w:color w:val="6E6158"/>
        </w:rPr>
        <w:t>Cliff</w:t>
      </w:r>
      <w:r>
        <w:rPr>
          <w:color w:val="6E6158"/>
          <w:spacing w:val="21"/>
        </w:rPr>
        <w:t> </w:t>
      </w:r>
      <w:r>
        <w:rPr>
          <w:color w:val="6E6158"/>
        </w:rPr>
        <w:t>is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director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our</w:t>
      </w:r>
      <w:r>
        <w:rPr>
          <w:color w:val="6E6158"/>
          <w:spacing w:val="21"/>
        </w:rPr>
        <w:t> </w:t>
      </w:r>
      <w:r>
        <w:rPr>
          <w:color w:val="6E6158"/>
        </w:rPr>
        <w:t>San</w:t>
      </w:r>
      <w:r>
        <w:rPr>
          <w:color w:val="6E6158"/>
          <w:spacing w:val="21"/>
        </w:rPr>
        <w:t> </w:t>
      </w:r>
      <w:r>
        <w:rPr>
          <w:color w:val="6E6158"/>
        </w:rPr>
        <w:t>Bernardino</w:t>
      </w:r>
      <w:r>
        <w:rPr>
          <w:color w:val="6E6158"/>
          <w:spacing w:val="21"/>
        </w:rPr>
        <w:t> </w:t>
      </w:r>
      <w:r>
        <w:rPr>
          <w:color w:val="6E6158"/>
        </w:rPr>
        <w:t>office</w:t>
      </w:r>
      <w:r>
        <w:rPr>
          <w:color w:val="6E6158"/>
          <w:spacing w:val="21"/>
        </w:rPr>
        <w:t> </w:t>
      </w:r>
      <w:r>
        <w:rPr>
          <w:color w:val="6E6158"/>
        </w:rPr>
        <w:t>who</w:t>
      </w:r>
      <w:r>
        <w:rPr>
          <w:color w:val="6E6158"/>
          <w:spacing w:val="21"/>
        </w:rPr>
        <w:t> </w:t>
      </w:r>
      <w:r>
        <w:rPr>
          <w:color w:val="6E6158"/>
        </w:rPr>
        <w:t>works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our</w:t>
      </w:r>
      <w:r>
        <w:rPr>
          <w:color w:val="6E6158"/>
          <w:spacing w:val="21"/>
        </w:rPr>
        <w:t> </w:t>
      </w:r>
      <w:r>
        <w:rPr>
          <w:color w:val="6E6158"/>
        </w:rPr>
        <w:t>Real</w:t>
      </w:r>
      <w:r>
        <w:rPr>
          <w:color w:val="6E6158"/>
          <w:spacing w:val="21"/>
        </w:rPr>
        <w:t> </w:t>
      </w:r>
      <w:r>
        <w:rPr>
          <w:color w:val="6E6158"/>
        </w:rPr>
        <w:t>Estate</w:t>
      </w:r>
      <w:r>
        <w:rPr>
          <w:color w:val="6E6158"/>
          <w:spacing w:val="21"/>
        </w:rPr>
        <w:t> </w:t>
      </w:r>
      <w:r>
        <w:rPr>
          <w:color w:val="6E6158"/>
        </w:rPr>
        <w:t>Practice</w:t>
      </w:r>
      <w:r>
        <w:rPr>
          <w:color w:val="6E6158"/>
          <w:spacing w:val="21"/>
        </w:rPr>
        <w:t> </w:t>
      </w:r>
      <w:r>
        <w:rPr>
          <w:color w:val="6E6158"/>
        </w:rPr>
        <w:t>group. His work focuses on real property and related business transactions. This means that Paul is often</w:t>
      </w:r>
      <w:r>
        <w:rPr>
          <w:color w:val="6E6158"/>
          <w:spacing w:val="40"/>
        </w:rPr>
        <w:t> </w:t>
      </w:r>
      <w:r>
        <w:rPr>
          <w:color w:val="6E6158"/>
        </w:rPr>
        <w:t>called upon to counsel clients on acquisitions and dispositions of commercial and industrial</w:t>
      </w:r>
      <w:r>
        <w:rPr>
          <w:color w:val="6E6158"/>
          <w:spacing w:val="40"/>
        </w:rPr>
        <w:t> </w:t>
      </w:r>
      <w:r>
        <w:rPr>
          <w:color w:val="6E6158"/>
        </w:rPr>
        <w:t>buildings throughout California. He also advises many clients on the development of industrial,</w:t>
      </w:r>
      <w:r>
        <w:rPr>
          <w:color w:val="6E6158"/>
          <w:spacing w:val="40"/>
        </w:rPr>
        <w:t> </w:t>
      </w:r>
      <w:r>
        <w:rPr>
          <w:color w:val="6E6158"/>
        </w:rPr>
        <w:t>retail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office</w:t>
      </w:r>
      <w:r>
        <w:rPr>
          <w:color w:val="6E6158"/>
          <w:spacing w:val="32"/>
        </w:rPr>
        <w:t> </w:t>
      </w:r>
      <w:r>
        <w:rPr>
          <w:color w:val="6E6158"/>
        </w:rPr>
        <w:t>projects.</w:t>
      </w:r>
      <w:r>
        <w:rPr>
          <w:color w:val="6E6158"/>
          <w:spacing w:val="32"/>
        </w:rPr>
        <w:t> </w:t>
      </w:r>
      <w:r>
        <w:rPr>
          <w:color w:val="6E6158"/>
        </w:rPr>
        <w:t>Naturally,</w:t>
      </w:r>
      <w:r>
        <w:rPr>
          <w:color w:val="6E6158"/>
          <w:spacing w:val="32"/>
        </w:rPr>
        <w:t> </w:t>
      </w:r>
      <w:r>
        <w:rPr>
          <w:color w:val="6E6158"/>
        </w:rPr>
        <w:t>as</w:t>
      </w:r>
      <w:r>
        <w:rPr>
          <w:color w:val="6E6158"/>
          <w:spacing w:val="32"/>
        </w:rPr>
        <w:t> </w:t>
      </w:r>
      <w:r>
        <w:rPr>
          <w:color w:val="6E6158"/>
        </w:rPr>
        <w:t>part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that</w:t>
      </w:r>
      <w:r>
        <w:rPr>
          <w:color w:val="6E6158"/>
          <w:spacing w:val="32"/>
        </w:rPr>
        <w:t> </w:t>
      </w:r>
      <w:r>
        <w:rPr>
          <w:color w:val="6E6158"/>
        </w:rPr>
        <w:t>acquisition,</w:t>
      </w:r>
      <w:r>
        <w:rPr>
          <w:color w:val="6E6158"/>
          <w:spacing w:val="32"/>
        </w:rPr>
        <w:t> </w:t>
      </w:r>
      <w:r>
        <w:rPr>
          <w:color w:val="6E6158"/>
        </w:rPr>
        <w:t>disposition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development</w:t>
      </w:r>
    </w:p>
    <w:p>
      <w:pPr>
        <w:pStyle w:val="BodyText"/>
        <w:spacing w:line="295" w:lineRule="auto"/>
        <w:ind w:left="104" w:right="203"/>
      </w:pPr>
      <w:r>
        <w:rPr>
          <w:color w:val="6E6158"/>
        </w:rPr>
        <w:t>work, he will work with our clients concerning all aspects of their finance needs. He routinely</w:t>
      </w:r>
      <w:r>
        <w:rPr>
          <w:color w:val="6E6158"/>
          <w:spacing w:val="40"/>
        </w:rPr>
        <w:t> </w:t>
      </w:r>
      <w:r>
        <w:rPr>
          <w:color w:val="6E6158"/>
        </w:rPr>
        <w:t>advises landlords and tenants with respect to leasing transactions. Finally, in his role as general</w:t>
      </w:r>
      <w:r>
        <w:rPr>
          <w:color w:val="6E6158"/>
          <w:spacing w:val="40"/>
        </w:rPr>
        <w:t> </w:t>
      </w:r>
      <w:r>
        <w:rPr>
          <w:color w:val="6E6158"/>
        </w:rPr>
        <w:t>counsel for many of these owners, developers and users of real property, Paul will assist in entity</w:t>
      </w:r>
      <w:r>
        <w:rPr>
          <w:color w:val="6E6158"/>
          <w:spacing w:val="40"/>
        </w:rPr>
        <w:t> </w:t>
      </w:r>
      <w:r>
        <w:rPr>
          <w:color w:val="6E6158"/>
        </w:rPr>
        <w:t>governance and review transaction documents and forms such as master service agreements,</w:t>
      </w:r>
      <w:r>
        <w:rPr>
          <w:color w:val="6E6158"/>
          <w:spacing w:val="40"/>
        </w:rPr>
        <w:t> </w:t>
      </w:r>
      <w:r>
        <w:rPr>
          <w:color w:val="6E6158"/>
        </w:rPr>
        <w:t>purchase orders, or standard terms and conditions.</w:t>
      </w:r>
      <w:r>
        <w:rPr>
          <w:color w:val="6E6158"/>
          <w:spacing w:val="80"/>
        </w:rPr>
        <w:t> </w:t>
      </w:r>
      <w:r>
        <w:rPr>
          <w:color w:val="6E6158"/>
        </w:rPr>
        <w:t>The general counsel role extends to mergers and acquisitions and coordinating the client’s needs with lawyers practicing in more specialized</w:t>
      </w:r>
      <w:r>
        <w:rPr>
          <w:color w:val="6E6158"/>
          <w:spacing w:val="40"/>
        </w:rPr>
        <w:t> </w:t>
      </w:r>
      <w:r>
        <w:rPr>
          <w:color w:val="6E6158"/>
        </w:rPr>
        <w:t>disciplines, including employment, taxation, and litigation.</w:t>
      </w:r>
    </w:p>
    <w:p>
      <w:pPr>
        <w:pStyle w:val="BodyText"/>
        <w:spacing w:line="295" w:lineRule="auto" w:before="196"/>
        <w:ind w:left="104" w:right="258"/>
      </w:pPr>
      <w:r>
        <w:rPr>
          <w:color w:val="6E6158"/>
        </w:rPr>
        <w:t>A proponent of legal education, Paul has taught programs about forming business entities for</w:t>
      </w:r>
      <w:r>
        <w:rPr>
          <w:color w:val="6E6158"/>
          <w:spacing w:val="40"/>
        </w:rPr>
        <w:t> </w:t>
      </w:r>
      <w:r>
        <w:rPr>
          <w:color w:val="6E6158"/>
        </w:rPr>
        <w:t>purposes of real estate investment at local universities. He graduated cum laude with a degree</w:t>
      </w:r>
      <w:r>
        <w:rPr>
          <w:color w:val="6E6158"/>
          <w:spacing w:val="80"/>
        </w:rPr>
        <w:t> </w:t>
      </w:r>
      <w:r>
        <w:rPr>
          <w:color w:val="6E6158"/>
        </w:rPr>
        <w:t>in mathematics and economics from Claremont McKenna College and earned his juris doctor</w:t>
      </w:r>
      <w:r>
        <w:rPr>
          <w:color w:val="6E6158"/>
          <w:spacing w:val="40"/>
        </w:rPr>
        <w:t> </w:t>
      </w:r>
      <w:r>
        <w:rPr>
          <w:color w:val="6E6158"/>
        </w:rPr>
        <w:t>from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University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Southern</w:t>
      </w:r>
      <w:r>
        <w:rPr>
          <w:color w:val="6E6158"/>
          <w:spacing w:val="18"/>
        </w:rPr>
        <w:t> </w:t>
      </w:r>
      <w:r>
        <w:rPr>
          <w:color w:val="6E6158"/>
        </w:rPr>
        <w:t>California</w:t>
      </w:r>
      <w:r>
        <w:rPr>
          <w:color w:val="6E6158"/>
          <w:spacing w:val="18"/>
        </w:rPr>
        <w:t> </w:t>
      </w:r>
      <w:r>
        <w:rPr>
          <w:color w:val="6E6158"/>
        </w:rPr>
        <w:t>Law</w:t>
      </w:r>
      <w:r>
        <w:rPr>
          <w:color w:val="6E6158"/>
          <w:spacing w:val="18"/>
        </w:rPr>
        <w:t> </w:t>
      </w:r>
      <w:r>
        <w:rPr>
          <w:color w:val="6E6158"/>
        </w:rPr>
        <w:t>Center,</w:t>
      </w:r>
      <w:r>
        <w:rPr>
          <w:color w:val="6E6158"/>
          <w:spacing w:val="18"/>
        </w:rPr>
        <w:t> </w:t>
      </w:r>
      <w:r>
        <w:rPr>
          <w:color w:val="6E6158"/>
        </w:rPr>
        <w:t>where</w:t>
      </w:r>
      <w:r>
        <w:rPr>
          <w:color w:val="6E6158"/>
          <w:spacing w:val="18"/>
        </w:rPr>
        <w:t> </w:t>
      </w:r>
      <w:r>
        <w:rPr>
          <w:color w:val="6E6158"/>
        </w:rPr>
        <w:t>he</w:t>
      </w:r>
      <w:r>
        <w:rPr>
          <w:color w:val="6E6158"/>
          <w:spacing w:val="18"/>
        </w:rPr>
        <w:t> </w:t>
      </w:r>
      <w:r>
        <w:rPr>
          <w:color w:val="6E6158"/>
        </w:rPr>
        <w:t>was</w:t>
      </w:r>
      <w:r>
        <w:rPr>
          <w:color w:val="6E6158"/>
          <w:spacing w:val="18"/>
        </w:rPr>
        <w:t> </w:t>
      </w:r>
      <w:r>
        <w:rPr>
          <w:color w:val="6E6158"/>
        </w:rPr>
        <w:t>editor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board</w:t>
      </w:r>
      <w:r>
        <w:rPr>
          <w:color w:val="6E6158"/>
          <w:spacing w:val="18"/>
        </w:rPr>
        <w:t> </w:t>
      </w:r>
      <w:r>
        <w:rPr>
          <w:color w:val="6E6158"/>
        </w:rPr>
        <w:t>member of the Major Tax Planning and Computer Law Journal. Paul remains fascinated by California’s</w:t>
      </w:r>
      <w:r>
        <w:rPr>
          <w:color w:val="6E6158"/>
          <w:spacing w:val="40"/>
        </w:rPr>
        <w:t> </w:t>
      </w:r>
      <w:r>
        <w:rPr>
          <w:color w:val="6E6158"/>
        </w:rPr>
        <w:t>unique and arcane rules concerning the rights and remedies available to owners, users and</w:t>
      </w:r>
      <w:r>
        <w:rPr>
          <w:color w:val="6E6158"/>
          <w:spacing w:val="40"/>
        </w:rPr>
        <w:t> </w:t>
      </w:r>
      <w:r>
        <w:rPr>
          <w:color w:val="6E6158"/>
        </w:rPr>
        <w:t>financiers of real estate assets. These current interesting times enable him to put his 30+ years of</w:t>
      </w:r>
      <w:r>
        <w:rPr>
          <w:color w:val="6E6158"/>
          <w:spacing w:val="40"/>
        </w:rPr>
        <w:t> </w:t>
      </w:r>
      <w:r>
        <w:rPr>
          <w:color w:val="6E6158"/>
        </w:rPr>
        <w:t>experience in studying these matters at the service of those developers, investors, users and</w:t>
      </w:r>
      <w:r>
        <w:rPr>
          <w:color w:val="6E6158"/>
          <w:spacing w:val="40"/>
        </w:rPr>
        <w:t> </w:t>
      </w:r>
      <w:r>
        <w:rPr>
          <w:color w:val="6E6158"/>
        </w:rPr>
        <w:t>financiers</w:t>
      </w:r>
      <w:r>
        <w:rPr>
          <w:color w:val="6E6158"/>
          <w:spacing w:val="26"/>
        </w:rPr>
        <w:t> </w:t>
      </w:r>
      <w:r>
        <w:rPr>
          <w:color w:val="6E6158"/>
        </w:rPr>
        <w:t>who</w:t>
      </w:r>
      <w:r>
        <w:rPr>
          <w:color w:val="6E6158"/>
          <w:spacing w:val="26"/>
        </w:rPr>
        <w:t> </w:t>
      </w:r>
      <w:r>
        <w:rPr>
          <w:color w:val="6E6158"/>
        </w:rPr>
        <w:t>separately</w:t>
      </w:r>
      <w:r>
        <w:rPr>
          <w:color w:val="6E6158"/>
          <w:spacing w:val="26"/>
        </w:rPr>
        <w:t> </w:t>
      </w:r>
      <w:r>
        <w:rPr>
          <w:color w:val="6E6158"/>
        </w:rPr>
        <w:t>retain</w:t>
      </w:r>
      <w:r>
        <w:rPr>
          <w:color w:val="6E6158"/>
          <w:spacing w:val="26"/>
        </w:rPr>
        <w:t> </w:t>
      </w:r>
      <w:r>
        <w:rPr>
          <w:color w:val="6E6158"/>
        </w:rPr>
        <w:t>our</w:t>
      </w:r>
      <w:r>
        <w:rPr>
          <w:color w:val="6E6158"/>
          <w:spacing w:val="26"/>
        </w:rPr>
        <w:t> </w:t>
      </w:r>
      <w:r>
        <w:rPr>
          <w:color w:val="6E6158"/>
        </w:rPr>
        <w:t>firm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assistance.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all</w:t>
      </w:r>
      <w:r>
        <w:rPr>
          <w:color w:val="6E6158"/>
          <w:spacing w:val="26"/>
        </w:rPr>
        <w:t> </w:t>
      </w:r>
      <w:r>
        <w:rPr>
          <w:color w:val="6E6158"/>
        </w:rPr>
        <w:t>cases,</w:t>
      </w:r>
      <w:r>
        <w:rPr>
          <w:color w:val="6E6158"/>
          <w:spacing w:val="26"/>
        </w:rPr>
        <w:t> </w:t>
      </w:r>
      <w:r>
        <w:rPr>
          <w:color w:val="6E6158"/>
        </w:rPr>
        <w:t>Paul</w:t>
      </w:r>
      <w:r>
        <w:rPr>
          <w:color w:val="6E6158"/>
          <w:spacing w:val="26"/>
        </w:rPr>
        <w:t> </w:t>
      </w:r>
      <w:r>
        <w:rPr>
          <w:color w:val="6E6158"/>
        </w:rPr>
        <w:t>has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same</w:t>
      </w:r>
    </w:p>
    <w:p>
      <w:pPr>
        <w:pStyle w:val="BodyText"/>
        <w:spacing w:before="1"/>
        <w:ind w:left="104"/>
      </w:pPr>
      <w:r>
        <w:rPr>
          <w:color w:val="6E6158"/>
        </w:rPr>
        <w:t>commitment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our</w:t>
      </w:r>
      <w:r>
        <w:rPr>
          <w:color w:val="6E6158"/>
          <w:spacing w:val="12"/>
        </w:rPr>
        <w:t> </w:t>
      </w:r>
      <w:r>
        <w:rPr>
          <w:color w:val="6E6158"/>
        </w:rPr>
        <w:t>clients’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success.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203"/>
      </w:pPr>
      <w:r>
        <w:rPr>
          <w:color w:val="6E6158"/>
        </w:rPr>
        <w:t>Paul is a member of the State Bar of California, and its Business Law and Real Property Law</w:t>
      </w:r>
      <w:r>
        <w:rPr>
          <w:color w:val="6E6158"/>
          <w:spacing w:val="40"/>
        </w:rPr>
        <w:t> </w:t>
      </w:r>
      <w:r>
        <w:rPr>
          <w:color w:val="6E6158"/>
        </w:rPr>
        <w:t>sections, and a member of the Riverside County Bar Association.</w:t>
      </w:r>
    </w:p>
    <w:p>
      <w:pPr>
        <w:pStyle w:val="BodyText"/>
        <w:spacing w:line="420" w:lineRule="auto" w:before="10"/>
        <w:ind w:left="356" w:right="72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65669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70858pt;width:1.65pt;height:1.65pt;mso-position-horizontal-relative:page;mso-position-vertical-relative:paragraph;z-index:15729152" id="docshape13" coordorigin="1675,103" coordsize="33,33" path="m1696,136l1687,136,1683,134,1676,128,1675,124,1675,115,1676,111,1683,105,1687,103,1696,103,1699,105,1706,111,1707,115,1707,120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324035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4606pt;width:1.65pt;height:1.65pt;mso-position-horizontal-relative:page;mso-position-vertical-relative:paragraph;z-index:15729664" id="docshape14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582401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858356pt;width:1.65pt;height:1.65pt;mso-position-horizontal-relative:page;mso-position-vertical-relative:paragraph;z-index:15730176" id="docshape15" coordorigin="1675,917" coordsize="33,33" path="m1696,950l1687,950,1683,948,1676,942,1675,938,1675,929,1676,925,1683,919,1687,917,1696,917,1699,919,1706,925,1707,929,1707,933,1707,938,1706,942,1699,948,1696,9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840766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202103pt;width:1.65pt;height:1.65pt;mso-position-horizontal-relative:page;mso-position-vertical-relative:paragraph;z-index:15730688" id="docshape16" coordorigin="1675,1324" coordsize="33,33" path="m1696,1357l1687,1357,1683,1355,1676,1349,1675,1345,1675,1336,1676,1332,1683,1326,1687,1324,1696,1324,1699,1326,1706,1332,1707,1336,1707,1340,1707,1345,1706,1349,1699,1355,1696,13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</w:t>
      </w:r>
      <w:r>
        <w:rPr>
          <w:color w:val="6E6158"/>
          <w:spacing w:val="40"/>
        </w:rPr>
        <w:t> </w:t>
      </w:r>
      <w:r>
        <w:rPr>
          <w:color w:val="6E6158"/>
        </w:rPr>
        <w:t>Business &amp; </w:t>
      </w:r>
      <w:r>
        <w:rPr>
          <w:color w:val="6E6158"/>
        </w:rPr>
        <w:t>Finance Trusts &amp; Estates Estate Planning</w:t>
      </w: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line="406" w:lineRule="exact" w:before="13"/>
        <w:ind w:left="356" w:right="3328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152586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652pt;width:1.65pt;height:1.65pt;mso-position-horizontal-relative:page;mso-position-vertical-relative:paragraph;z-index:15731200" id="docshape1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410951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8402pt;width:1.65pt;height:1.65pt;mso-position-horizontal-relative:page;mso-position-vertical-relative:paragraph;z-index:15731712" id="docshape18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Southern California Gould School of </w:t>
      </w:r>
      <w:r>
        <w:rPr>
          <w:color w:val="6E6158"/>
        </w:rPr>
        <w:t>Law</w:t>
      </w:r>
      <w:r>
        <w:rPr>
          <w:color w:val="6E6158"/>
        </w:rPr>
        <w:t> B.A., Claremont McKenna College, </w:t>
      </w:r>
      <w:r>
        <w:rPr>
          <w:i/>
          <w:color w:val="6E6158"/>
          <w:sz w:val="20"/>
        </w:rPr>
        <w:t>cum laude</w:t>
      </w:r>
    </w:p>
    <w:p>
      <w:pPr>
        <w:pStyle w:val="BodyText"/>
        <w:spacing w:before="13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1223708</wp:posOffset>
                </wp:positionH>
                <wp:positionV relativeFrom="paragraph">
                  <wp:posOffset>67932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5.349026pt;width:1.65pt;height:1.65pt;mso-position-horizontal-relative:page;mso-position-vertical-relative:paragraph;z-index:15732224" id="docshape19" coordorigin="1927,107" coordsize="33,33" path="m1948,140l1939,140,1935,138,1929,132,1927,128,1927,119,1929,115,1935,109,1939,107,1948,107,1952,109,1958,115,1960,119,1960,123,1960,128,1958,132,1952,138,1948,1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Journal,</w:t>
      </w:r>
      <w:r>
        <w:rPr>
          <w:color w:val="6E6158"/>
          <w:spacing w:val="12"/>
        </w:rPr>
        <w:t> </w:t>
      </w:r>
      <w:r>
        <w:rPr>
          <w:color w:val="6E6158"/>
        </w:rPr>
        <w:t>Editor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Member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55"/>
        <w:ind w:left="356" w:right="72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157923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4913pt;width:1.65pt;height:1.65pt;mso-position-horizontal-relative:page;mso-position-vertical-relative:paragraph;z-index:15732736" id="docshape20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416289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8664pt;width:1.65pt;height:1.65pt;mso-position-horizontal-relative:page;mso-position-vertical-relative:paragraph;z-index:15733248" id="docshape21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674654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241pt;width:1.65pt;height:1.65pt;mso-position-horizontal-relative:page;mso-position-vertical-relative:paragraph;z-index:15733760" id="docshape22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933020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66164pt;width:1.65pt;height:1.65pt;mso-position-horizontal-relative:page;mso-position-vertical-relative:paragraph;z-index:15734272" id="docshape23" coordorigin="1675,1469" coordsize="33,33" path="m1696,1502l1687,1502,1683,1500,1676,1494,1675,1490,1675,1481,1676,1477,1683,1471,1687,1469,1696,1469,1699,1471,1706,1477,1707,1481,1707,1486,1707,1490,1706,1494,1699,1500,1696,15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</w:t>
      </w:r>
      <w:r>
        <w:rPr>
          <w:color w:val="6E6158"/>
          <w:spacing w:val="40"/>
        </w:rPr>
        <w:t> </w:t>
      </w:r>
      <w:r>
        <w:rPr>
          <w:color w:val="6E6158"/>
        </w:rPr>
        <w:t>Business &amp; </w:t>
      </w:r>
      <w:r>
        <w:rPr>
          <w:color w:val="6E6158"/>
        </w:rPr>
        <w:t>Finance Trusts &amp; Estates Estate Planning</w:t>
      </w: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2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152764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708pt;width:1.65pt;height:1.65pt;mso-position-horizontal-relative:page;mso-position-vertical-relative:paragraph;z-index:15734784" id="docshape2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Co-Author, Fennemore Notice To Clients – Corporate Transparency Act, Fennemore Client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Alert, December 29, 2023</w:t>
        </w:r>
      </w:hyperlink>
    </w:p>
    <w:p>
      <w:pPr>
        <w:pStyle w:val="BodyText"/>
        <w:spacing w:line="302" w:lineRule="auto"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137702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2681pt;width:1.65pt;height:1.65pt;mso-position-horizontal-relative:page;mso-position-vertical-relative:paragraph;z-index:15735296" id="docshape25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“Commercial Loan Workouts – A Practical Introduction,” Riverside Lawyer, </w:t>
      </w:r>
      <w:r>
        <w:rPr>
          <w:color w:val="6E6158"/>
        </w:rPr>
        <w:t>July/August, </w:t>
      </w:r>
      <w:r>
        <w:rPr>
          <w:color w:val="6E6158"/>
          <w:spacing w:val="-4"/>
        </w:rPr>
        <w:t>2008</w:t>
      </w:r>
    </w:p>
    <w:p>
      <w:pPr>
        <w:pStyle w:val="BodyText"/>
        <w:spacing w:line="292" w:lineRule="auto" w:before="113"/>
        <w:ind w:left="356" w:right="2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131212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1713pt;width:1.65pt;height:1.65pt;mso-position-horizontal-relative:page;mso-position-vertical-relative:paragraph;z-index:15735808" id="docshape26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“Catastrophe Planning for Real Estate Practitioners: Traps for the Unwary Contained </w:t>
      </w:r>
      <w:r>
        <w:rPr>
          <w:color w:val="6E6158"/>
        </w:rPr>
        <w:t>in Risk of Loss and Premises Damage Provision in Real Property Purchase and Lease</w:t>
      </w:r>
    </w:p>
    <w:p>
      <w:pPr>
        <w:pStyle w:val="BodyText"/>
        <w:spacing w:before="1"/>
        <w:ind w:left="356"/>
      </w:pPr>
      <w:r>
        <w:rPr>
          <w:color w:val="6E6158"/>
        </w:rPr>
        <w:t>Documents,”</w:t>
      </w:r>
      <w:r>
        <w:rPr>
          <w:color w:val="6E6158"/>
          <w:spacing w:val="72"/>
        </w:rPr>
        <w:t> </w:t>
      </w:r>
      <w:r>
        <w:rPr>
          <w:color w:val="6E6158"/>
        </w:rPr>
        <w:t>Volume</w:t>
      </w:r>
      <w:r>
        <w:rPr>
          <w:color w:val="6E6158"/>
          <w:spacing w:val="9"/>
        </w:rPr>
        <w:t> </w:t>
      </w:r>
      <w:r>
        <w:rPr>
          <w:color w:val="6E6158"/>
        </w:rPr>
        <w:t>25,</w:t>
      </w:r>
      <w:r>
        <w:rPr>
          <w:color w:val="6E6158"/>
          <w:spacing w:val="10"/>
        </w:rPr>
        <w:t> </w:t>
      </w:r>
      <w:r>
        <w:rPr>
          <w:color w:val="6E6158"/>
        </w:rPr>
        <w:t>No.</w:t>
      </w:r>
      <w:r>
        <w:rPr>
          <w:color w:val="6E6158"/>
          <w:spacing w:val="10"/>
        </w:rPr>
        <w:t> </w:t>
      </w:r>
      <w:r>
        <w:rPr>
          <w:color w:val="6E6158"/>
        </w:rPr>
        <w:t>2</w:t>
      </w:r>
      <w:r>
        <w:rPr>
          <w:color w:val="6E6158"/>
          <w:spacing w:val="9"/>
        </w:rPr>
        <w:t> </w:t>
      </w:r>
      <w:r>
        <w:rPr>
          <w:color w:val="6E6158"/>
        </w:rPr>
        <w:t>25</w:t>
      </w:r>
      <w:r>
        <w:rPr>
          <w:color w:val="6E6158"/>
          <w:spacing w:val="10"/>
        </w:rPr>
        <w:t> </w:t>
      </w:r>
      <w:r>
        <w:rPr>
          <w:color w:val="6E6158"/>
        </w:rPr>
        <w:t>California</w:t>
      </w:r>
      <w:r>
        <w:rPr>
          <w:color w:val="6E6158"/>
          <w:spacing w:val="9"/>
        </w:rPr>
        <w:t> </w:t>
      </w:r>
      <w:r>
        <w:rPr>
          <w:color w:val="6E6158"/>
        </w:rPr>
        <w:t>Real</w:t>
      </w:r>
      <w:r>
        <w:rPr>
          <w:color w:val="6E6158"/>
          <w:spacing w:val="10"/>
        </w:rPr>
        <w:t> </w:t>
      </w:r>
      <w:r>
        <w:rPr>
          <w:color w:val="6E6158"/>
        </w:rPr>
        <w:t>Property</w:t>
      </w:r>
      <w:r>
        <w:rPr>
          <w:color w:val="6E6158"/>
          <w:spacing w:val="10"/>
        </w:rPr>
        <w:t> </w:t>
      </w:r>
      <w:r>
        <w:rPr>
          <w:color w:val="6E6158"/>
        </w:rPr>
        <w:t>Journal</w:t>
      </w:r>
      <w:r>
        <w:rPr>
          <w:color w:val="6E6158"/>
          <w:spacing w:val="9"/>
        </w:rPr>
        <w:t> </w:t>
      </w:r>
      <w:r>
        <w:rPr>
          <w:color w:val="6E6158"/>
        </w:rPr>
        <w:t>23,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2007</w:t>
      </w:r>
    </w:p>
    <w:p>
      <w:pPr>
        <w:pStyle w:val="BodyText"/>
        <w:spacing w:line="292" w:lineRule="auto" w:before="182"/>
        <w:ind w:left="356" w:right="2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175202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548pt;width:1.65pt;height:1.65pt;mso-position-horizontal-relative:page;mso-position-vertical-relative:paragraph;z-index:15736320" id="docshape27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40"/>
        </w:rPr>
        <w:t> </w:t>
      </w:r>
      <w:r>
        <w:rPr>
          <w:color w:val="6E6158"/>
        </w:rPr>
        <w:t>Yvette Green, “Damage, Destruction, Insurance, and Indemnity,” Chapter </w:t>
      </w:r>
      <w:r>
        <w:rPr>
          <w:color w:val="6E6158"/>
        </w:rPr>
        <w:t>15, Ground Lease Practice, 2d ed. Cal CEB, 2009</w:t>
      </w:r>
    </w:p>
    <w:p>
      <w:pPr>
        <w:pStyle w:val="Heading1"/>
        <w:spacing w:before="28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152467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312pt;width:1.65pt;height:1.65pt;mso-position-horizontal-relative:page;mso-position-vertical-relative:paragraph;z-index:15736832" id="docshape2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7" w:lineRule="auto" w:before="174"/>
        <w:ind w:left="356" w:right="10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170197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1356pt;width:1.65pt;height:1.65pt;mso-position-horizontal-relative:page;mso-position-vertical-relative:paragraph;z-index:15737344" id="docshape29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433730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1981pt;width:1.65pt;height:1.65pt;mso-position-horizontal-relative:page;mso-position-vertical-relative:paragraph;z-index:15737856" id="docshape30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California, Business Law and Real Property Law </w:t>
      </w:r>
      <w:r>
        <w:rPr>
          <w:color w:val="6E6158"/>
        </w:rPr>
        <w:t>Sections Member, Riverside County Bar Association</w:t>
      </w:r>
    </w:p>
    <w:p>
      <w:pPr>
        <w:pStyle w:val="Heading1"/>
        <w:spacing w:before="154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152727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758pt;width:1.65pt;height:1.65pt;mso-position-horizontal-relative:page;mso-position-vertical-relative:paragraph;z-index:15738368" id="docshape31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6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pcliff@fennemorelaw.com" TargetMode="External"/><Relationship Id="rId11" Type="http://schemas.openxmlformats.org/officeDocument/2006/relationships/hyperlink" Target="https://www.fennemorelaw.com/wp-content/uploads/2023/12/Corporate-Formation-Filings-and-Deadlines-Fennemore-Notice-to-Clients-re-CTA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2025-01-02T06:40:46Z</dcterms:created>
  <dcterms:modified xsi:type="dcterms:W3CDTF">2025-01-02T06:40:46Z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