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17112" y="1369338"/>
                            <a:ext cx="186563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5630" h="320675">
                                <a:moveTo>
                                  <a:pt x="1865401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65401" y="320382"/>
                                </a:lnTo>
                                <a:lnTo>
                                  <a:pt x="1865401" y="315214"/>
                                </a:lnTo>
                                <a:close/>
                              </a:path>
                              <a:path w="1865630" h="320675">
                                <a:moveTo>
                                  <a:pt x="18654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65401" y="5168"/>
                                </a:lnTo>
                                <a:lnTo>
                                  <a:pt x="1865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PAUL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H.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DUVALL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Employment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Labor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619.595.3231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619.231.4372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pduvall@fennemorelaw.com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696;top:2156;width:2938;height:505" id="docshape5" coordorigin="5696,2156" coordsize="2938,505" path="m8634,2653l5696,2653,5696,2661,8634,2661,8634,2653xm8634,2156l5696,2156,5696,2165,8634,2165,8634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PAUL</w:t>
                        </w:r>
                        <w:r>
                          <w:rPr>
                            <w:color w:val="FFFFFF"/>
                            <w:spacing w:val="-1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H.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DUVALL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Employment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Labor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619.595.3231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619.231.4372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pduvall@fennemorelaw.com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PAUL</w:t>
      </w:r>
      <w:r>
        <w:rPr>
          <w:color w:val="FF8100"/>
          <w:spacing w:val="5"/>
        </w:rPr>
        <w:t> </w:t>
      </w:r>
      <w:r>
        <w:rPr>
          <w:color w:val="FF8100"/>
        </w:rPr>
        <w:t>H.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DUVALL</w:t>
      </w:r>
    </w:p>
    <w:p>
      <w:pPr>
        <w:pStyle w:val="BodyText"/>
        <w:spacing w:line="297" w:lineRule="auto"/>
        <w:ind w:left="104" w:right="1253"/>
        <w:jc w:val="both"/>
      </w:pPr>
      <w:r>
        <w:rPr>
          <w:color w:val="6E6158"/>
        </w:rPr>
        <w:t>Paul Duvall, a member of the Business Litigation and Employment Law groups, is skilled in strategic business dispute resolution, negotiation, and litigation in employment and </w:t>
      </w:r>
      <w:r>
        <w:rPr>
          <w:color w:val="6E6158"/>
        </w:rPr>
        <w:t>labor matters, including wage and hour issues.</w:t>
      </w:r>
    </w:p>
    <w:p>
      <w:pPr>
        <w:pStyle w:val="BodyText"/>
        <w:spacing w:before="191"/>
        <w:ind w:left="104"/>
      </w:pPr>
      <w:r>
        <w:rPr>
          <w:color w:val="6E6158"/>
        </w:rPr>
        <w:t>Before</w:t>
      </w:r>
      <w:r>
        <w:rPr>
          <w:color w:val="6E6158"/>
          <w:spacing w:val="15"/>
        </w:rPr>
        <w:t> </w:t>
      </w:r>
      <w:r>
        <w:rPr>
          <w:color w:val="6E6158"/>
        </w:rPr>
        <w:t>joining</w:t>
      </w:r>
      <w:r>
        <w:rPr>
          <w:color w:val="6E6158"/>
          <w:spacing w:val="16"/>
        </w:rPr>
        <w:t> </w:t>
      </w:r>
      <w:r>
        <w:rPr>
          <w:color w:val="6E6158"/>
        </w:rPr>
        <w:t>Fennemore,</w:t>
      </w:r>
      <w:r>
        <w:rPr>
          <w:color w:val="6E6158"/>
          <w:spacing w:val="16"/>
        </w:rPr>
        <w:t> </w:t>
      </w:r>
      <w:r>
        <w:rPr>
          <w:color w:val="6E6158"/>
        </w:rPr>
        <w:t>Paul</w:t>
      </w:r>
      <w:r>
        <w:rPr>
          <w:color w:val="6E6158"/>
          <w:spacing w:val="15"/>
        </w:rPr>
        <w:t> </w:t>
      </w:r>
      <w:r>
        <w:rPr>
          <w:color w:val="6E6158"/>
        </w:rPr>
        <w:t>represented</w:t>
      </w:r>
      <w:r>
        <w:rPr>
          <w:color w:val="6E6158"/>
          <w:spacing w:val="16"/>
        </w:rPr>
        <w:t> </w:t>
      </w:r>
      <w:r>
        <w:rPr>
          <w:color w:val="6E6158"/>
        </w:rPr>
        <w:t>newspaper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television</w:t>
      </w:r>
      <w:r>
        <w:rPr>
          <w:color w:val="6E6158"/>
          <w:spacing w:val="16"/>
        </w:rPr>
        <w:t> </w:t>
      </w:r>
      <w:r>
        <w:rPr>
          <w:color w:val="6E6158"/>
        </w:rPr>
        <w:t>stations,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handling</w:t>
      </w:r>
    </w:p>
    <w:p>
      <w:pPr>
        <w:pStyle w:val="BodyText"/>
        <w:spacing w:line="292" w:lineRule="auto" w:before="60"/>
        <w:ind w:left="104" w:right="498"/>
      </w:pPr>
      <w:r>
        <w:rPr>
          <w:color w:val="6E6158"/>
        </w:rPr>
        <w:t>discrimination, wrongful termination, and wage/hour violations in state and federal courts. His</w:t>
      </w:r>
      <w:r>
        <w:rPr>
          <w:color w:val="6E6158"/>
          <w:spacing w:val="40"/>
        </w:rPr>
        <w:t> </w:t>
      </w:r>
      <w:r>
        <w:rPr>
          <w:color w:val="6E6158"/>
        </w:rPr>
        <w:t>experience as a managing partner at King &amp; Ballow’s San Diego office also included labor issues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39"/>
        </w:rPr>
        <w:t> </w:t>
      </w:r>
      <w:r>
        <w:rPr>
          <w:color w:val="6E6158"/>
        </w:rPr>
        <w:t>collective</w:t>
      </w:r>
      <w:r>
        <w:rPr>
          <w:color w:val="6E6158"/>
          <w:spacing w:val="39"/>
        </w:rPr>
        <w:t> </w:t>
      </w:r>
      <w:r>
        <w:rPr>
          <w:color w:val="6E6158"/>
        </w:rPr>
        <w:t>bargaining,</w:t>
      </w:r>
      <w:r>
        <w:rPr>
          <w:color w:val="6E6158"/>
          <w:spacing w:val="39"/>
        </w:rPr>
        <w:t> </w:t>
      </w:r>
      <w:r>
        <w:rPr>
          <w:color w:val="6E6158"/>
        </w:rPr>
        <w:t>showcasing</w:t>
      </w:r>
      <w:r>
        <w:rPr>
          <w:color w:val="6E6158"/>
          <w:spacing w:val="39"/>
        </w:rPr>
        <w:t> </w:t>
      </w:r>
      <w:r>
        <w:rPr>
          <w:color w:val="6E6158"/>
        </w:rPr>
        <w:t>his</w:t>
      </w:r>
      <w:r>
        <w:rPr>
          <w:color w:val="6E6158"/>
          <w:spacing w:val="39"/>
        </w:rPr>
        <w:t> </w:t>
      </w:r>
      <w:r>
        <w:rPr>
          <w:color w:val="6E6158"/>
        </w:rPr>
        <w:t>knowledge</w:t>
      </w:r>
      <w:r>
        <w:rPr>
          <w:color w:val="6E6158"/>
          <w:spacing w:val="39"/>
        </w:rPr>
        <w:t> </w:t>
      </w:r>
      <w:r>
        <w:rPr>
          <w:color w:val="6E6158"/>
        </w:rPr>
        <w:t>in</w:t>
      </w:r>
      <w:r>
        <w:rPr>
          <w:color w:val="6E6158"/>
          <w:spacing w:val="39"/>
        </w:rPr>
        <w:t> </w:t>
      </w:r>
      <w:r>
        <w:rPr>
          <w:color w:val="6E6158"/>
        </w:rPr>
        <w:t>complex</w:t>
      </w:r>
      <w:r>
        <w:rPr>
          <w:color w:val="6E6158"/>
          <w:spacing w:val="39"/>
        </w:rPr>
        <w:t> </w:t>
      </w:r>
      <w:r>
        <w:rPr>
          <w:color w:val="6E6158"/>
        </w:rPr>
        <w:t>business</w:t>
      </w:r>
      <w:r>
        <w:rPr>
          <w:color w:val="6E6158"/>
          <w:spacing w:val="39"/>
        </w:rPr>
        <w:t> </w:t>
      </w:r>
      <w:r>
        <w:rPr>
          <w:color w:val="6E6158"/>
        </w:rPr>
        <w:t>litigation.</w:t>
      </w:r>
      <w:r>
        <w:rPr>
          <w:color w:val="6E6158"/>
          <w:spacing w:val="39"/>
        </w:rPr>
        <w:t> </w:t>
      </w:r>
      <w:r>
        <w:rPr>
          <w:color w:val="6E6158"/>
        </w:rPr>
        <w:t>His</w:t>
      </w:r>
    </w:p>
    <w:p>
      <w:pPr>
        <w:pStyle w:val="BodyText"/>
        <w:spacing w:line="297" w:lineRule="auto" w:before="2"/>
        <w:ind w:left="104" w:right="767"/>
      </w:pPr>
      <w:r>
        <w:rPr>
          <w:color w:val="6E6158"/>
        </w:rPr>
        <w:t>past roles at Sullivan, Jones &amp; Archer, as a judge advocate in the United States Marine Corps, and as a law clerk for Judge Howard B. Turrentine, have honed his negotiation and litigation</w:t>
      </w:r>
      <w:r>
        <w:rPr>
          <w:color w:val="6E6158"/>
          <w:spacing w:val="40"/>
        </w:rPr>
        <w:t> </w:t>
      </w:r>
      <w:r>
        <w:rPr>
          <w:color w:val="6E6158"/>
        </w:rPr>
        <w:t>skills, making him a formidable legal advocate.</w:t>
      </w:r>
    </w:p>
    <w:p>
      <w:pPr>
        <w:pStyle w:val="BodyText"/>
        <w:spacing w:line="292" w:lineRule="auto" w:before="191"/>
        <w:ind w:left="104" w:right="498"/>
      </w:pPr>
      <w:r>
        <w:rPr>
          <w:color w:val="6E6158"/>
        </w:rPr>
        <w:t>Paul’s diverse legal experience, combined with his strategic and client-centric approach, </w:t>
      </w:r>
      <w:r>
        <w:rPr>
          <w:color w:val="6E6158"/>
        </w:rPr>
        <w:t>marks</w:t>
      </w:r>
      <w:r>
        <w:rPr>
          <w:color w:val="6E6158"/>
          <w:spacing w:val="40"/>
        </w:rPr>
        <w:t> </w:t>
      </w:r>
      <w:r>
        <w:rPr>
          <w:color w:val="6E6158"/>
        </w:rPr>
        <w:t>him as a skilled litigator in the realms of commercial and business law.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50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152491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191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410856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0941pt;width:1.65pt;height:1.65pt;mso-position-horizontal-relative:page;mso-position-vertical-relative:paragraph;z-index:15729664" id="docshape8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Northwestern University School of </w:t>
      </w:r>
      <w:r>
        <w:rPr>
          <w:color w:val="6E6158"/>
        </w:rPr>
        <w:t>Law</w:t>
      </w:r>
      <w:r>
        <w:rPr>
          <w:color w:val="6E6158"/>
        </w:rPr>
        <w:t> B.A., Cornell College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/>
        <w:ind w:right="67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152699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58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416232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4204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Business Litigation</w:t>
      </w:r>
    </w:p>
    <w:p>
      <w:pPr>
        <w:pStyle w:val="Heading1"/>
        <w:spacing w:before="154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420" w:lineRule="auto"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152374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981pt;width:1.65pt;height:1.65pt;mso-position-horizontal-relative:page;mso-position-vertical-relative:paragraph;z-index:15731200" id="docshape1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410739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1732pt;width:1.65pt;height:1.65pt;mso-position-horizontal-relative:page;mso-position-vertical-relative:paragraph;z-index:15731712" id="docshape12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</w:t>
      </w:r>
      <w:hyperlink r:id="rId11">
        <w:r>
          <w:rPr>
            <w:color w:val="F5821F"/>
          </w:rPr>
          <w:t>2023 California Employment Law Update by Paul H. Duvall, Esq.</w:t>
        </w:r>
      </w:hyperlink>
      <w:r>
        <w:rPr>
          <w:color w:val="6E6158"/>
        </w:rPr>
        <w:t>, Firm Newsletter, 2023 Presenter, Employment Law Course, AGC San Diego, July 18, 2023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63822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5387pt;width:1.65pt;height:1.65pt;mso-position-horizontal-relative:page;mso-position-vertical-relative:paragraph;z-index:15732224" id="docshape13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1"/>
        </w:rPr>
        <w:t> </w:t>
      </w:r>
      <w:r>
        <w:rPr>
          <w:color w:val="6E6158"/>
        </w:rPr>
        <w:t>2023</w:t>
      </w:r>
      <w:r>
        <w:rPr>
          <w:color w:val="6E6158"/>
          <w:spacing w:val="10"/>
        </w:rPr>
        <w:t> </w:t>
      </w:r>
      <w:r>
        <w:rPr>
          <w:color w:val="6E6158"/>
        </w:rPr>
        <w:t>California</w:t>
      </w:r>
      <w:r>
        <w:rPr>
          <w:color w:val="6E6158"/>
          <w:spacing w:val="11"/>
        </w:rPr>
        <w:t> </w:t>
      </w:r>
      <w:r>
        <w:rPr>
          <w:color w:val="6E6158"/>
        </w:rPr>
        <w:t>Employment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Update,</w:t>
      </w:r>
      <w:r>
        <w:rPr>
          <w:color w:val="6E6158"/>
          <w:spacing w:val="11"/>
        </w:rPr>
        <w:t> </w:t>
      </w:r>
      <w:r>
        <w:rPr>
          <w:color w:val="6E6158"/>
        </w:rPr>
        <w:t>Firm</w:t>
      </w:r>
      <w:r>
        <w:rPr>
          <w:color w:val="6E6158"/>
          <w:spacing w:val="11"/>
        </w:rPr>
        <w:t> </w:t>
      </w:r>
      <w:r>
        <w:rPr>
          <w:color w:val="6E6158"/>
        </w:rPr>
        <w:t>Newsletter,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736" id="docshape1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Labor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Employment</w:t>
      </w:r>
      <w:r>
        <w:rPr>
          <w:color w:val="6E6158"/>
          <w:spacing w:val="14"/>
        </w:rPr>
        <w:t> </w:t>
      </w:r>
      <w:r>
        <w:rPr>
          <w:color w:val="6E6158"/>
        </w:rPr>
        <w:t>Section,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4"/>
        </w:rPr>
        <w:t> </w:t>
      </w:r>
      <w:r>
        <w:rPr>
          <w:color w:val="6E6158"/>
        </w:rPr>
        <w:t>Lawyers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302" w:lineRule="auto" w:before="174"/>
        <w:ind w:left="853" w:right="4942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33248" id="docshape15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1378727</wp:posOffset>
                </wp:positionH>
                <wp:positionV relativeFrom="paragraph">
                  <wp:posOffset>356192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28.046679pt;width:1.65pt;height:1.65pt;mso-position-horizontal-relative:page;mso-position-vertical-relative:paragraph;z-index:15733760" id="docshape16" coordorigin="2171,561" coordsize="33,33" path="m2192,593l2183,593,2179,592,2173,586,2171,582,2171,573,2173,569,2179,563,2183,561,2192,561,2196,563,2202,569,2204,573,2204,577,2204,582,2202,586,2196,592,2192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San Diego Volunteer Lawyer </w:t>
      </w:r>
      <w:r>
        <w:rPr>
          <w:color w:val="6E6158"/>
        </w:rPr>
        <w:t>Program President, 1985-1993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131295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821pt;width:1.65pt;height:1.65pt;mso-position-horizontal-relative:page;mso-position-vertical-relative:paragraph;z-index:15734272" id="docshape17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</w:t>
      </w:r>
      <w:r>
        <w:rPr>
          <w:color w:val="6E6158"/>
          <w:spacing w:val="8"/>
        </w:rPr>
        <w:t> </w:t>
      </w:r>
      <w:r>
        <w:rPr>
          <w:color w:val="6E6158"/>
        </w:rPr>
        <w:t>Faculty,</w:t>
      </w:r>
      <w:r>
        <w:rPr>
          <w:color w:val="6E6158"/>
          <w:spacing w:val="9"/>
        </w:rPr>
        <w:t> </w:t>
      </w:r>
      <w:r>
        <w:rPr>
          <w:color w:val="6E6158"/>
        </w:rPr>
        <w:t>National</w:t>
      </w:r>
      <w:r>
        <w:rPr>
          <w:color w:val="6E6158"/>
          <w:spacing w:val="9"/>
        </w:rPr>
        <w:t> </w:t>
      </w:r>
      <w:r>
        <w:rPr>
          <w:color w:val="6E6158"/>
        </w:rPr>
        <w:t>Institute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Trial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Advocacy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152618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7222pt;width:1.65pt;height:1.65pt;mso-position-horizontal-relative:page;mso-position-vertical-relative:paragraph;z-index:15734784" id="docshape1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169713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3266pt;width:1.65pt;height:1.65pt;mso-position-horizontal-relative:page;mso-position-vertical-relative:paragraph;z-index:15735296" id="docshape19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Military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Appeals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174830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6185pt;width:1.65pt;height:1.65pt;mso-position-horizontal-relative:page;mso-position-vertical-relative:paragraph;z-index:15735808" id="docshape20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line="420" w:lineRule="auto" w:before="173"/>
        <w:ind w:right="54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169700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2229pt;width:1.65pt;height:1.65pt;mso-position-horizontal-relative:page;mso-position-vertical-relative:paragraph;z-index:15736320" id="docshape21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428065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05978pt;width:1.65pt;height:1.65pt;mso-position-horizontal-relative:page;mso-position-vertical-relative:paragraph;z-index:15736832" id="docshape22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Federal District Courts for </w:t>
      </w:r>
      <w:r>
        <w:rPr>
          <w:color w:val="6E6158"/>
        </w:rPr>
        <w:t>California Federal District Courts for Illinois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58836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276pt;width:1.65pt;height:1.65pt;mso-position-horizontal-relative:page;mso-position-vertical-relative:paragraph;z-index:15737344" id="docshape23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Ninth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175452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147pt;width:1.65pt;height:1.65pt;mso-position-horizontal-relative:page;mso-position-vertical-relative:paragraph;z-index:15737856" id="docshape24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Seventh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169687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1191pt;width:1.65pt;height:1.65pt;mso-position-horizontal-relative:page;mso-position-vertical-relative:paragraph;z-index:15738368" id="docshape25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</w:t>
      </w:r>
      <w:r>
        <w:rPr>
          <w:color w:val="6E6158"/>
          <w:spacing w:val="8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Fifth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170271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7235pt;width:1.65pt;height:1.65pt;mso-position-horizontal-relative:page;mso-position-vertical-relative:paragraph;z-index:15738880" id="docshape2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Fourth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employment-and-labor-relations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pduvall@fennemorelaw.com" TargetMode="External"/><Relationship Id="rId11" Type="http://schemas.openxmlformats.org/officeDocument/2006/relationships/hyperlink" Target="https://sullivanhill.com/2023-california-employment-law-update-by-paul-h-duvall-esq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2025-01-13T14:53:54Z</dcterms:created>
  <dcterms:modified xsi:type="dcterms:W3CDTF">2025-01-13T14:53:54Z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ConvertAPI</vt:lpwstr>
  </property>
</Properties>
</file>