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206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1282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128260"/>
                          <a:chExt cx="6066790" cy="51282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60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602105">
                                <a:moveTo>
                                  <a:pt x="6066424" y="1601866"/>
                                </a:moveTo>
                                <a:lnTo>
                                  <a:pt x="0" y="1601866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601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11269" y="763308"/>
                            <a:ext cx="208978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PHILIP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M.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SAVAGE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IV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909.890.4499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85782" y="2763906"/>
                            <a:ext cx="15411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psavage@fennemorelaw.com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994080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58240" y="4019563"/>
                            <a:ext cx="356616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“At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best,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noblest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animals;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separated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law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justice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worst.”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823532" y="4484621"/>
                            <a:ext cx="43560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Aristotle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994080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03.8pt;mso-position-horizontal-relative:page;mso-position-vertical-relative:page;z-index:-15804416" id="docshapegroup1" coordorigin="1341,560" coordsize="9554,8076">
                <v:rect style="position:absolute;left:1341;top:5955;width:9554;height:2523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70;top:1762;width:3291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PHILIP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M.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SAVAGE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IV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909.890.4499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303;top:4912;width:2427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psavage@fennemorelaw.com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849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22;top:6890;width:5616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“At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best,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noblest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animals;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separated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from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law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justice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worst.”</w:t>
                        </w:r>
                      </w:p>
                    </w:txbxContent>
                  </v:textbox>
                  <w10:wrap type="none"/>
                </v:shape>
                <v:shape style="position:absolute;left:5787;top:7622;width:686;height:200" type="#_x0000_t202" id="docshape12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Aristotle</w:t>
                        </w:r>
                      </w:p>
                    </w:txbxContent>
                  </v:textbox>
                  <w10:wrap type="none"/>
                </v:shape>
                <v:shape style="position:absolute;left:8986;top:6849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2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FF8100"/>
        </w:rPr>
        <w:t>PHILIP</w:t>
      </w:r>
      <w:r>
        <w:rPr>
          <w:color w:val="FF8100"/>
          <w:spacing w:val="7"/>
        </w:rPr>
        <w:t> </w:t>
      </w:r>
      <w:r>
        <w:rPr>
          <w:color w:val="FF8100"/>
        </w:rPr>
        <w:t>M.</w:t>
      </w:r>
      <w:r>
        <w:rPr>
          <w:color w:val="FF8100"/>
          <w:spacing w:val="7"/>
        </w:rPr>
        <w:t> </w:t>
      </w:r>
      <w:r>
        <w:rPr>
          <w:color w:val="FF8100"/>
        </w:rPr>
        <w:t>SAVAGE</w:t>
      </w:r>
      <w:r>
        <w:rPr>
          <w:color w:val="FF8100"/>
          <w:spacing w:val="8"/>
        </w:rPr>
        <w:t> </w:t>
      </w:r>
      <w:r>
        <w:rPr>
          <w:color w:val="FF8100"/>
          <w:spacing w:val="-5"/>
        </w:rPr>
        <w:t>IV</w:t>
      </w:r>
    </w:p>
    <w:p>
      <w:pPr>
        <w:pStyle w:val="BodyText"/>
        <w:spacing w:before="146"/>
        <w:ind w:left="104"/>
        <w:jc w:val="both"/>
      </w:pPr>
      <w:r>
        <w:rPr>
          <w:color w:val="6E6158"/>
        </w:rPr>
        <w:t>Phil</w:t>
      </w:r>
      <w:r>
        <w:rPr>
          <w:color w:val="6E6158"/>
          <w:spacing w:val="10"/>
        </w:rPr>
        <w:t> </w:t>
      </w:r>
      <w:r>
        <w:rPr>
          <w:color w:val="6E6158"/>
        </w:rPr>
        <w:t>Savage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director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our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10"/>
        </w:rPr>
        <w:t> </w:t>
      </w:r>
      <w:r>
        <w:rPr>
          <w:color w:val="6E6158"/>
        </w:rPr>
        <w:t>Bernardino</w:t>
      </w:r>
      <w:r>
        <w:rPr>
          <w:color w:val="6E6158"/>
          <w:spacing w:val="10"/>
        </w:rPr>
        <w:t> </w:t>
      </w:r>
      <w:r>
        <w:rPr>
          <w:color w:val="6E6158"/>
        </w:rPr>
        <w:t>office</w:t>
      </w:r>
      <w:r>
        <w:rPr>
          <w:color w:val="6E6158"/>
          <w:spacing w:val="10"/>
        </w:rPr>
        <w:t> </w:t>
      </w:r>
      <w:r>
        <w:rPr>
          <w:color w:val="6E6158"/>
        </w:rPr>
        <w:t>where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0"/>
        </w:rPr>
        <w:t> </w:t>
      </w:r>
      <w:r>
        <w:rPr>
          <w:color w:val="6E6158"/>
        </w:rPr>
        <w:t>practice</w:t>
      </w:r>
      <w:r>
        <w:rPr>
          <w:color w:val="6E6158"/>
          <w:spacing w:val="10"/>
        </w:rPr>
        <w:t> </w:t>
      </w:r>
      <w:r>
        <w:rPr>
          <w:color w:val="6E6158"/>
        </w:rPr>
        <w:t>focuses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line="292" w:lineRule="auto" w:before="60"/>
        <w:ind w:left="104" w:right="248"/>
        <w:jc w:val="both"/>
      </w:pPr>
      <w:r>
        <w:rPr>
          <w:color w:val="6E6158"/>
        </w:rPr>
        <w:t>succession, estate planning and trust administration.</w:t>
      </w:r>
      <w:r>
        <w:rPr>
          <w:color w:val="6E6158"/>
          <w:spacing w:val="40"/>
        </w:rPr>
        <w:t> </w:t>
      </w:r>
      <w:r>
        <w:rPr>
          <w:color w:val="6E6158"/>
        </w:rPr>
        <w:t>He works with his clients to create </w:t>
      </w:r>
      <w:r>
        <w:rPr>
          <w:color w:val="6E6158"/>
        </w:rPr>
        <w:t>business succession and estate transfer plans that preserve wealth and enhance family relationships. His clients</w:t>
      </w:r>
      <w:r>
        <w:rPr>
          <w:color w:val="6E6158"/>
          <w:spacing w:val="35"/>
        </w:rPr>
        <w:t> </w:t>
      </w:r>
      <w:r>
        <w:rPr>
          <w:color w:val="6E6158"/>
        </w:rPr>
        <w:t>include</w:t>
      </w:r>
      <w:r>
        <w:rPr>
          <w:color w:val="6E6158"/>
          <w:spacing w:val="35"/>
        </w:rPr>
        <w:t> </w:t>
      </w:r>
      <w:r>
        <w:rPr>
          <w:color w:val="6E6158"/>
        </w:rPr>
        <w:t>corporations,</w:t>
      </w:r>
      <w:r>
        <w:rPr>
          <w:color w:val="6E6158"/>
          <w:spacing w:val="35"/>
        </w:rPr>
        <w:t> </w:t>
      </w:r>
      <w:r>
        <w:rPr>
          <w:color w:val="6E6158"/>
        </w:rPr>
        <w:t>charities,</w:t>
      </w:r>
      <w:r>
        <w:rPr>
          <w:color w:val="6E6158"/>
          <w:spacing w:val="35"/>
        </w:rPr>
        <w:t> </w:t>
      </w:r>
      <w:r>
        <w:rPr>
          <w:color w:val="6E6158"/>
        </w:rPr>
        <w:t>high</w:t>
      </w:r>
      <w:r>
        <w:rPr>
          <w:color w:val="6E6158"/>
          <w:spacing w:val="35"/>
        </w:rPr>
        <w:t> </w:t>
      </w:r>
      <w:r>
        <w:rPr>
          <w:color w:val="6E6158"/>
        </w:rPr>
        <w:t>net</w:t>
      </w:r>
      <w:r>
        <w:rPr>
          <w:color w:val="6E6158"/>
          <w:spacing w:val="35"/>
        </w:rPr>
        <w:t> </w:t>
      </w:r>
      <w:r>
        <w:rPr>
          <w:color w:val="6E6158"/>
        </w:rPr>
        <w:t>worth</w:t>
      </w:r>
      <w:r>
        <w:rPr>
          <w:color w:val="6E6158"/>
          <w:spacing w:val="35"/>
        </w:rPr>
        <w:t> </w:t>
      </w:r>
      <w:r>
        <w:rPr>
          <w:color w:val="6E6158"/>
        </w:rPr>
        <w:t>families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individuals,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fiduciaries.</w:t>
      </w:r>
    </w:p>
    <w:p>
      <w:pPr>
        <w:pStyle w:val="BodyText"/>
        <w:spacing w:line="302" w:lineRule="auto" w:before="197"/>
        <w:ind w:left="104" w:right="412"/>
      </w:pPr>
      <w:r>
        <w:rPr>
          <w:color w:val="6E6158"/>
        </w:rPr>
        <w:t>Phil enjoys providing personalized estate planning, estate administration, and business</w:t>
      </w:r>
      <w:r>
        <w:rPr>
          <w:color w:val="6E6158"/>
          <w:spacing w:val="40"/>
        </w:rPr>
        <w:t> </w:t>
      </w:r>
      <w:r>
        <w:rPr>
          <w:color w:val="6E6158"/>
        </w:rPr>
        <w:t>succession</w:t>
      </w:r>
      <w:r>
        <w:rPr>
          <w:color w:val="6E6158"/>
          <w:spacing w:val="15"/>
        </w:rPr>
        <w:t> </w:t>
      </w:r>
      <w:r>
        <w:rPr>
          <w:color w:val="6E6158"/>
        </w:rPr>
        <w:t>counsel.</w:t>
      </w:r>
      <w:r>
        <w:rPr>
          <w:color w:val="6E6158"/>
          <w:spacing w:val="80"/>
        </w:rPr>
        <w:t> </w:t>
      </w:r>
      <w:r>
        <w:rPr>
          <w:color w:val="6E6158"/>
        </w:rPr>
        <w:t>He</w:t>
      </w:r>
      <w:r>
        <w:rPr>
          <w:color w:val="6E6158"/>
          <w:spacing w:val="15"/>
        </w:rPr>
        <w:t> </w:t>
      </w:r>
      <w:r>
        <w:rPr>
          <w:color w:val="6E6158"/>
        </w:rPr>
        <w:t>provides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with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practical</w:t>
      </w:r>
      <w:r>
        <w:rPr>
          <w:color w:val="6E6158"/>
          <w:spacing w:val="15"/>
        </w:rPr>
        <w:t> </w:t>
      </w:r>
      <w:r>
        <w:rPr>
          <w:color w:val="6E6158"/>
        </w:rPr>
        <w:t>approach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achieve</w:t>
      </w:r>
      <w:r>
        <w:rPr>
          <w:color w:val="6E6158"/>
          <w:spacing w:val="15"/>
        </w:rPr>
        <w:t> </w:t>
      </w:r>
      <w:r>
        <w:rPr>
          <w:color w:val="6E6158"/>
        </w:rPr>
        <w:t>their</w:t>
      </w:r>
      <w:r>
        <w:rPr>
          <w:color w:val="6E6158"/>
          <w:spacing w:val="15"/>
        </w:rPr>
        <w:t> </w:t>
      </w:r>
      <w:r>
        <w:rPr>
          <w:color w:val="6E6158"/>
        </w:rPr>
        <w:t>planning</w:t>
      </w:r>
    </w:p>
    <w:p>
      <w:pPr>
        <w:pStyle w:val="BodyText"/>
        <w:spacing w:line="292" w:lineRule="auto"/>
        <w:ind w:left="104" w:right="130"/>
      </w:pPr>
      <w:r>
        <w:rPr>
          <w:color w:val="6E6158"/>
        </w:rPr>
        <w:t>objectives, including the planning and preparation of revocable and irrevocable trusts, and the</w:t>
      </w:r>
      <w:r>
        <w:rPr>
          <w:color w:val="6E6158"/>
          <w:spacing w:val="40"/>
        </w:rPr>
        <w:t> </w:t>
      </w:r>
      <w:r>
        <w:rPr>
          <w:color w:val="6E6158"/>
        </w:rPr>
        <w:t>administration of trusts and estates involving estate and gift tax issues. He also advises and</w:t>
      </w:r>
      <w:r>
        <w:rPr>
          <w:color w:val="6E6158"/>
          <w:spacing w:val="80"/>
        </w:rPr>
        <w:t> </w:t>
      </w:r>
      <w:r>
        <w:rPr>
          <w:color w:val="6E6158"/>
        </w:rPr>
        <w:t>counsels</w:t>
      </w:r>
      <w:r>
        <w:rPr>
          <w:color w:val="6E6158"/>
          <w:spacing w:val="21"/>
        </w:rPr>
        <w:t> </w:t>
      </w:r>
      <w:r>
        <w:rPr>
          <w:color w:val="6E6158"/>
        </w:rPr>
        <w:t>individuals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charitable</w:t>
      </w:r>
      <w:r>
        <w:rPr>
          <w:color w:val="6E6158"/>
          <w:spacing w:val="21"/>
        </w:rPr>
        <w:t> </w:t>
      </w:r>
      <w:r>
        <w:rPr>
          <w:color w:val="6E6158"/>
        </w:rPr>
        <w:t>organizations</w:t>
      </w:r>
      <w:r>
        <w:rPr>
          <w:color w:val="6E6158"/>
          <w:spacing w:val="21"/>
        </w:rPr>
        <w:t> </w:t>
      </w:r>
      <w:r>
        <w:rPr>
          <w:color w:val="6E6158"/>
        </w:rPr>
        <w:t>on</w:t>
      </w:r>
      <w:r>
        <w:rPr>
          <w:color w:val="6E6158"/>
          <w:spacing w:val="21"/>
        </w:rPr>
        <w:t> </w:t>
      </w:r>
      <w:r>
        <w:rPr>
          <w:color w:val="6E6158"/>
        </w:rPr>
        <w:t>planning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implementing</w:t>
      </w:r>
      <w:r>
        <w:rPr>
          <w:color w:val="6E6158"/>
          <w:spacing w:val="21"/>
        </w:rPr>
        <w:t> </w:t>
      </w:r>
      <w:r>
        <w:rPr>
          <w:color w:val="6E6158"/>
        </w:rPr>
        <w:t>charitable</w:t>
      </w:r>
      <w:r>
        <w:rPr>
          <w:color w:val="6E6158"/>
          <w:spacing w:val="21"/>
        </w:rPr>
        <w:t> </w:t>
      </w:r>
      <w:r>
        <w:rPr>
          <w:color w:val="6E6158"/>
        </w:rPr>
        <w:t>gifts.</w:t>
      </w:r>
    </w:p>
    <w:p>
      <w:pPr>
        <w:pStyle w:val="BodyText"/>
        <w:spacing w:line="292" w:lineRule="auto" w:before="196"/>
        <w:ind w:left="104" w:right="412"/>
      </w:pPr>
      <w:r>
        <w:rPr>
          <w:color w:val="6E6158"/>
        </w:rPr>
        <w:t>A certified specialist in estate planning, trust, and probate law by the State Bar of California</w:t>
      </w:r>
      <w:r>
        <w:rPr>
          <w:color w:val="6E6158"/>
          <w:spacing w:val="40"/>
        </w:rPr>
        <w:t> </w:t>
      </w:r>
      <w:r>
        <w:rPr>
          <w:color w:val="6E6158"/>
        </w:rPr>
        <w:t>Board of Legal Specialization, Phil is a past chair of the Estate Planning, Trust, and Probate Law</w:t>
      </w:r>
      <w:r>
        <w:rPr>
          <w:color w:val="6E6158"/>
          <w:spacing w:val="40"/>
        </w:rPr>
        <w:t> </w:t>
      </w:r>
      <w:r>
        <w:rPr>
          <w:color w:val="6E6158"/>
        </w:rPr>
        <w:t>Advisory Commission of the State Bar of California Board of Legal Specialization. He has</w:t>
      </w:r>
      <w:r>
        <w:rPr>
          <w:color w:val="6E6158"/>
          <w:spacing w:val="40"/>
        </w:rPr>
        <w:t> </w:t>
      </w:r>
      <w:r>
        <w:rPr>
          <w:color w:val="6E6158"/>
        </w:rPr>
        <w:t>presented estate planning seminars to many organizations.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5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152820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127pt;width:1.65pt;height:1.65pt;mso-position-horizontal-relative:page;mso-position-vertical-relative:paragraph;z-index:15729152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411186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6877pt;width:1.65pt;height:1.65pt;mso-position-horizontal-relative:page;mso-position-vertical-relative:paragraph;z-index:15729664" id="docshape15" coordorigin="1675,648" coordsize="33,33" path="m1696,680l1687,680,1683,678,1676,672,1675,668,1675,659,1676,655,1683,649,1687,648,1696,648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Loyola Law School, Los </w:t>
      </w:r>
      <w:r>
        <w:rPr>
          <w:color w:val="6E6158"/>
        </w:rPr>
        <w:t>Angeles</w:t>
      </w:r>
      <w:r>
        <w:rPr>
          <w:color w:val="6E6158"/>
        </w:rPr>
        <w:t> B.A., Stanford University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2" w:lineRule="auto" w:before="88"/>
        <w:ind w:left="356" w:right="70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176" id="docshape1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0688" id="docshape17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06pt;width:1.65pt;height:1.65pt;mso-position-horizontal-relative:page;mso-position-vertical-relative:paragraph;z-index:15731200" id="docshape18" coordorigin="1675,1004" coordsize="33,33" path="m1696,1036l1687,1036,1683,1035,1676,1029,1675,1025,1675,1016,1676,1012,1683,1006,1687,1004,1696,1004,1699,1006,1706,1012,1707,1016,1707,1020,1707,1025,1706,1029,1699,1035,1696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Business &amp; </w:t>
      </w:r>
      <w:r>
        <w:rPr>
          <w:color w:val="6E6158"/>
        </w:rPr>
        <w:t>Finance Tax Law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58945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1374pt;width:1.65pt;height:1.65pt;mso-position-horizontal-relative:page;mso-position-vertical-relative:paragraph;z-index:15731712" id="docshape19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0" w:lineRule="auto" w:before="147"/>
        <w:ind w:left="356" w:right="10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152808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158pt;width:1.65pt;height:1.65pt;mso-position-horizontal-relative:page;mso-position-vertical-relative:paragraph;z-index:15732224" id="docshape2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411174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5908pt;width:1.65pt;height:1.65pt;mso-position-horizontal-relative:page;mso-position-vertical-relative:paragraph;z-index:15732736" id="docshape21" coordorigin="1675,648" coordsize="33,33" path="m1696,680l1687,680,1683,678,1676,672,1675,668,1675,659,1676,655,1683,649,1687,648,1696,648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Planning – The Basics and Pitfalls to Avoid, Crafton Hills College, January </w:t>
      </w:r>
      <w:r>
        <w:rPr>
          <w:color w:val="6E6158"/>
        </w:rPr>
        <w:t>2019 First Steps in Trust Administration, 2018 Bench-Bar Symposium, June 2018</w:t>
      </w:r>
    </w:p>
    <w:p>
      <w:pPr>
        <w:pStyle w:val="BodyText"/>
        <w:spacing w:line="420" w:lineRule="auto" w:before="6"/>
        <w:ind w:left="356" w:right="4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63621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9564pt;width:1.65pt;height:1.65pt;mso-position-horizontal-relative:page;mso-position-vertical-relative:paragraph;z-index:15733248" id="docshape2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321987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3313pt;width:1.65pt;height:1.65pt;mso-position-horizontal-relative:page;mso-position-vertical-relative:paragraph;z-index:15733760" id="docshape23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580352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97063pt;width:1.65pt;height:1.65pt;mso-position-horizontal-relative:page;mso-position-vertical-relative:paragraph;z-index:15734272" id="docshape24" coordorigin="1675,914" coordsize="33,33" path="m1696,946l1687,946,1683,945,1676,939,1675,935,1675,926,1676,922,1683,916,1687,914,1696,914,1699,916,1706,922,1707,926,1707,930,1707,935,1706,939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Planning for Digital Assets, Orange County Estate Planning Council, September </w:t>
      </w:r>
      <w:r>
        <w:rPr>
          <w:color w:val="6E6158"/>
        </w:rPr>
        <w:t>2017</w:t>
      </w:r>
      <w:r>
        <w:rPr>
          <w:color w:val="6E6158"/>
          <w:spacing w:val="40"/>
        </w:rPr>
        <w:t> </w:t>
      </w:r>
      <w:r>
        <w:rPr>
          <w:color w:val="6E6158"/>
        </w:rPr>
        <w:t>Estate Planning and Charitable Planning, San Bernardino Valley College, January 2016</w:t>
      </w:r>
      <w:r>
        <w:rPr>
          <w:color w:val="6E6158"/>
          <w:spacing w:val="40"/>
        </w:rPr>
        <w:t> </w:t>
      </w:r>
      <w:r>
        <w:rPr>
          <w:color w:val="6E6158"/>
        </w:rPr>
        <w:t>Estate Planning for Digital Assets, Riverside Estate Planning Council, March 2015</w:t>
      </w:r>
    </w:p>
    <w:p>
      <w:pPr>
        <w:pStyle w:val="BodyText"/>
        <w:spacing w:line="427" w:lineRule="auto"/>
        <w:ind w:left="356" w:right="15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58297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0360pt;width:1.65pt;height:1.65pt;mso-position-horizontal-relative:page;mso-position-vertical-relative:paragraph;z-index:15734784" id="docshape25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321830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0984pt;width:1.65pt;height:1.65pt;mso-position-horizontal-relative:page;mso-position-vertical-relative:paragraph;z-index:15735296" id="docshape26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Planning Basics, California State University San Bernardino, June </w:t>
      </w:r>
      <w:r>
        <w:rPr>
          <w:color w:val="6E6158"/>
        </w:rPr>
        <w:t>2014 Estate Planning Basics, University of California Riverside, April 2014</w:t>
      </w:r>
    </w:p>
    <w:p>
      <w:pPr>
        <w:pStyle w:val="Heading1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left="356" w:right="15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152587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762pt;width:1.65pt;height:1.65pt;mso-position-horizontal-relative:page;mso-position-vertical-relative:paragraph;z-index:15735808" id="docshape2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410953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8509pt;width:1.65pt;height:1.65pt;mso-position-horizontal-relative:page;mso-position-vertical-relative:paragraph;z-index:15736320" id="docshape28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674486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9135pt;width:1.65pt;height:1.65pt;mso-position-horizontal-relative:page;mso-position-vertical-relative:paragraph;z-index:15736832" id="docshape29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932851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52881pt;width:1.65pt;height:1.65pt;mso-position-horizontal-relative:page;mso-position-vertical-relative:paragraph;z-index:15737344" id="docshape30" coordorigin="1675,1469" coordsize="33,33" path="m1696,1502l1687,1502,1683,1500,1676,1494,1675,1490,1675,1481,1676,1477,1683,1471,1687,1469,1696,1469,1699,1471,1706,1477,1707,1481,1707,1485,1707,1490,1706,1494,1699,1500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1191217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3.796631pt;width:1.65pt;height:1.65pt;mso-position-horizontal-relative:page;mso-position-vertical-relative:paragraph;z-index:15737856" id="docshape31" coordorigin="1675,1876" coordsize="33,33" path="m1696,1908l1687,1908,1683,1907,1676,1901,1675,1897,1675,1888,1676,1884,1683,1878,1687,1876,1696,1876,1699,1878,1706,1884,1707,1888,1707,1892,1707,1897,1706,1901,1699,1907,1696,19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Association, Real Property, Probate &amp; Trust Section Member, The State Bar of California, Estate Planning, Probate &amp; Trust Section Member, University of California, Riverside, Planned Giving Advisory Board Member, California State University San Bernardino Philanthropic </w:t>
      </w:r>
      <w:r>
        <w:rPr>
          <w:color w:val="6E6158"/>
        </w:rPr>
        <w:t>Foundation Board Member, Loma Linda University Children’s Hospital Foundation</w:t>
      </w:r>
    </w:p>
    <w:p>
      <w:pPr>
        <w:pStyle w:val="BodyText"/>
        <w:spacing w:line="427" w:lineRule="auto"/>
        <w:ind w:left="356"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54490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0578pt;width:1.65pt;height:1.65pt;mso-position-horizontal-relative:page;mso-position-vertical-relative:paragraph;z-index:15738368" id="docshape32" coordorigin="1675,86" coordsize="33,33" path="m1696,118l1687,118,1683,117,1676,110,1675,107,1675,98,1676,94,1683,87,1687,86,1696,86,1699,87,1706,94,1707,98,1707,102,1707,107,1706,110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318023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1203pt;width:1.65pt;height:1.65pt;mso-position-horizontal-relative:page;mso-position-vertical-relative:paragraph;z-index:15738880" id="docshape33" coordorigin="1675,501" coordsize="33,33" path="m1696,533l1687,533,1683,532,1676,525,1675,522,1675,513,1676,509,1683,502,1687,501,1696,501,1699,502,1706,509,1707,513,1707,517,1707,522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The Community Foundation, Serving Riverside &amp; San Bernardino Counties Member, Estate Planning Councils of San Bernardino and Riverside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49772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919121pt;width:1.65pt;height:1.65pt;mso-position-horizontal-relative:page;mso-position-vertical-relative:paragraph;z-index:15739392" id="docshape34" coordorigin="1675,78" coordsize="33,33" path="m1696,111l1687,111,1683,109,1676,103,1675,99,1675,90,1676,86,1683,80,1687,78,1696,78,1699,80,1706,86,1707,90,1707,95,1707,99,1706,103,1699,109,1696,11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Riverside</w:t>
      </w:r>
      <w:r>
        <w:rPr>
          <w:color w:val="6E6158"/>
          <w:spacing w:val="9"/>
        </w:rPr>
        <w:t> </w:t>
      </w:r>
      <w:r>
        <w:rPr>
          <w:color w:val="6E6158"/>
        </w:rPr>
        <w:t>Sunrise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Rotary</w:t>
      </w:r>
    </w:p>
    <w:p>
      <w:pPr>
        <w:pStyle w:val="BodyText"/>
        <w:spacing w:before="16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164930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986635pt;width:1.65pt;height:1.65pt;mso-position-horizontal-relative:page;mso-position-vertical-relative:paragraph;z-index:15739904" id="docshape35" coordorigin="1675,260" coordsize="33,33" path="m1696,292l1687,292,1683,291,1676,284,1675,280,1675,272,1676,268,1683,261,1687,260,1696,260,1699,261,1706,268,1707,272,1707,276,1707,280,1706,284,1699,291,1696,2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4"/>
        </w:rPr>
        <w:t> </w:t>
      </w:r>
      <w:r>
        <w:rPr>
          <w:color w:val="6E6158"/>
        </w:rPr>
        <w:t>San</w:t>
      </w:r>
      <w:r>
        <w:rPr>
          <w:color w:val="6E6158"/>
          <w:spacing w:val="15"/>
        </w:rPr>
        <w:t> </w:t>
      </w:r>
      <w:r>
        <w:rPr>
          <w:color w:val="6E6158"/>
        </w:rPr>
        <w:t>Bernardino</w:t>
      </w:r>
      <w:r>
        <w:rPr>
          <w:color w:val="6E6158"/>
          <w:spacing w:val="15"/>
        </w:rPr>
        <w:t> </w:t>
      </w:r>
      <w:r>
        <w:rPr>
          <w:color w:val="6E6158"/>
        </w:rPr>
        <w:t>Community</w:t>
      </w:r>
      <w:r>
        <w:rPr>
          <w:color w:val="6E6158"/>
          <w:spacing w:val="15"/>
        </w:rPr>
        <w:t> </w:t>
      </w:r>
      <w:r>
        <w:rPr>
          <w:color w:val="6E6158"/>
        </w:rPr>
        <w:t>Scholarship</w:t>
      </w:r>
      <w:r>
        <w:rPr>
          <w:color w:val="6E6158"/>
          <w:spacing w:val="15"/>
        </w:rPr>
        <w:t> </w:t>
      </w:r>
      <w:r>
        <w:rPr>
          <w:color w:val="6E6158"/>
        </w:rPr>
        <w:t>Association,</w:t>
      </w:r>
      <w:r>
        <w:rPr>
          <w:color w:val="6E6158"/>
          <w:spacing w:val="15"/>
        </w:rPr>
        <w:t> </w:t>
      </w:r>
      <w:r>
        <w:rPr>
          <w:color w:val="6E6158"/>
        </w:rPr>
        <w:t>Board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152686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522pt;width:1.65pt;height:1.65pt;mso-position-horizontal-relative:page;mso-position-vertical-relative:paragraph;z-index:15740416" id="docshape3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psavag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2025-01-07T15:27:09Z</dcterms:created>
  <dcterms:modified xsi:type="dcterms:W3CDTF">2025-01-07T15:27:09Z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