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2619" y="1369338"/>
                            <a:ext cx="183451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320675">
                                <a:moveTo>
                                  <a:pt x="18343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34388" y="320382"/>
                                </a:lnTo>
                                <a:lnTo>
                                  <a:pt x="1834388" y="315214"/>
                                </a:lnTo>
                                <a:close/>
                              </a:path>
                              <a:path w="1834514" h="320675">
                                <a:moveTo>
                                  <a:pt x="183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34388" y="5168"/>
                                </a:lnTo>
                                <a:lnTo>
                                  <a:pt x="183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0844" y="763308"/>
                            <a:ext cx="185102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RYAN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C.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CURTIS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ERISA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65230" y="2490038"/>
                            <a:ext cx="13823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rcurtis@fennemorelaw.com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16049" y="3745695"/>
                            <a:ext cx="345059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doesn't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abide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majority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rule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person's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conscience.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-Atticus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Finch,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Kill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Mockingbird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117856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RYAN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CURTIS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061;top:2716;width:2889;height:505" id="docshape6" coordorigin="7062,2716" coordsize="2889,505" path="m9951,3213l7062,3213,7062,3221,9951,3221,9951,3213xm9951,2716l7062,2716,7062,2725,9951,2725,995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59;top:1762;width:291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RYAN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C.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CURTIS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ERISA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602.916.5626</w:t>
                        </w:r>
                      </w:p>
                    </w:txbxContent>
                  </v:textbox>
                  <w10:wrap type="none"/>
                </v:shape>
                <v:shape style="position:absolute;left:7428;top:4481;width:2177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rcurtis@fennemorelaw.com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13;top:6458;width:5434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doesn't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abide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majority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rule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person's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conscience.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-Atticus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Finch,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Kill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Mockingbird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856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RYAN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C.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CURTIS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59"/>
        <w:ind w:left="0"/>
        <w:rPr>
          <w:rFonts w:ascii="Times New Roman"/>
        </w:rPr>
      </w:pPr>
    </w:p>
    <w:p>
      <w:pPr>
        <w:pStyle w:val="BodyText"/>
        <w:spacing w:line="297" w:lineRule="auto" w:before="1"/>
        <w:ind w:left="104" w:right="316"/>
      </w:pPr>
      <w:r>
        <w:rPr>
          <w:color w:val="6E6158"/>
        </w:rPr>
        <w:t>Ryan</w:t>
      </w:r>
      <w:r>
        <w:rPr>
          <w:color w:val="6E6158"/>
          <w:spacing w:val="27"/>
        </w:rPr>
        <w:t> </w:t>
      </w:r>
      <w:r>
        <w:rPr>
          <w:color w:val="6E6158"/>
        </w:rPr>
        <w:t>Curtis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chair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  <w:r>
        <w:rPr>
          <w:color w:val="6E6158"/>
          <w:spacing w:val="27"/>
        </w:rPr>
        <w:t> </w:t>
      </w:r>
      <w:r>
        <w:rPr>
          <w:color w:val="6E6158"/>
        </w:rPr>
        <w:t>ERISA</w:t>
      </w:r>
      <w:r>
        <w:rPr>
          <w:color w:val="6E6158"/>
          <w:spacing w:val="27"/>
        </w:rPr>
        <w:t> </w:t>
      </w:r>
      <w:r>
        <w:rPr>
          <w:color w:val="6E6158"/>
        </w:rPr>
        <w:t>(Employee</w:t>
      </w:r>
      <w:r>
        <w:rPr>
          <w:color w:val="6E6158"/>
          <w:spacing w:val="27"/>
        </w:rPr>
        <w:t> </w:t>
      </w:r>
      <w:r>
        <w:rPr>
          <w:color w:val="6E6158"/>
        </w:rPr>
        <w:t>Retirement</w:t>
      </w:r>
      <w:r>
        <w:rPr>
          <w:color w:val="6E6158"/>
          <w:spacing w:val="27"/>
        </w:rPr>
        <w:t> </w:t>
      </w:r>
      <w:r>
        <w:rPr>
          <w:color w:val="6E6158"/>
        </w:rPr>
        <w:t>Income</w:t>
      </w:r>
      <w:r>
        <w:rPr>
          <w:color w:val="6E6158"/>
          <w:spacing w:val="27"/>
        </w:rPr>
        <w:t> </w:t>
      </w:r>
      <w:r>
        <w:rPr>
          <w:color w:val="6E6158"/>
        </w:rPr>
        <w:t>Security</w:t>
      </w:r>
      <w:r>
        <w:rPr>
          <w:color w:val="6E6158"/>
          <w:spacing w:val="27"/>
        </w:rPr>
        <w:t> </w:t>
      </w:r>
      <w:r>
        <w:rPr>
          <w:color w:val="6E6158"/>
        </w:rPr>
        <w:t>Act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1974)</w:t>
      </w:r>
      <w:r>
        <w:rPr>
          <w:color w:val="6E6158"/>
          <w:spacing w:val="27"/>
        </w:rPr>
        <w:t> </w:t>
      </w:r>
      <w:r>
        <w:rPr>
          <w:color w:val="6E6158"/>
        </w:rPr>
        <w:t>and employee benefits practice group. In order to attract and retain quality people, employers must</w:t>
      </w:r>
      <w:r>
        <w:rPr>
          <w:color w:val="6E6158"/>
          <w:spacing w:val="40"/>
        </w:rPr>
        <w:t> </w:t>
      </w:r>
      <w:r>
        <w:rPr>
          <w:color w:val="6E6158"/>
        </w:rPr>
        <w:t>offer competitive benefits packages. Providing healthcare and retirement benefits can also</w:t>
      </w:r>
      <w:r>
        <w:rPr>
          <w:color w:val="6E6158"/>
          <w:spacing w:val="40"/>
        </w:rPr>
        <w:t> </w:t>
      </w:r>
      <w:r>
        <w:rPr>
          <w:color w:val="6E6158"/>
        </w:rPr>
        <w:t>increase employee loyalty and productivity. As a sought-after ERISA lawyer, Ryan takes great</w:t>
      </w:r>
      <w:r>
        <w:rPr>
          <w:color w:val="6E6158"/>
          <w:spacing w:val="80"/>
        </w:rPr>
        <w:t> </w:t>
      </w:r>
      <w:r>
        <w:rPr>
          <w:color w:val="6E6158"/>
        </w:rPr>
        <w:t>pride in tackling significant problems and developing solutions for his clients that will ensure their</w:t>
      </w:r>
      <w:r>
        <w:rPr>
          <w:color w:val="6E6158"/>
          <w:spacing w:val="40"/>
        </w:rPr>
        <w:t> </w:t>
      </w:r>
      <w:r>
        <w:rPr>
          <w:color w:val="6E6158"/>
        </w:rPr>
        <w:t>businesses comply with complex regulations.</w:t>
      </w:r>
    </w:p>
    <w:p>
      <w:pPr>
        <w:pStyle w:val="BodyText"/>
        <w:spacing w:line="292" w:lineRule="auto" w:before="187"/>
        <w:ind w:left="104" w:right="316"/>
      </w:pPr>
      <w:r>
        <w:rPr>
          <w:color w:val="6E6158"/>
        </w:rPr>
        <w:t>Ryan and his team focus on counseling employers with the administration of their benefit </w:t>
      </w:r>
      <w:r>
        <w:rPr>
          <w:color w:val="6E6158"/>
        </w:rPr>
        <w:t>plans,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well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helping</w:t>
      </w:r>
      <w:r>
        <w:rPr>
          <w:color w:val="6E6158"/>
          <w:spacing w:val="32"/>
        </w:rPr>
        <w:t> </w:t>
      </w:r>
      <w:r>
        <w:rPr>
          <w:color w:val="6E6158"/>
        </w:rPr>
        <w:t>trustees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administrators</w:t>
      </w:r>
      <w:r>
        <w:rPr>
          <w:color w:val="6E6158"/>
          <w:spacing w:val="32"/>
        </w:rPr>
        <w:t> </w:t>
      </w:r>
      <w:r>
        <w:rPr>
          <w:color w:val="6E6158"/>
        </w:rPr>
        <w:t>comply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important</w:t>
      </w:r>
      <w:r>
        <w:rPr>
          <w:color w:val="6E6158"/>
          <w:spacing w:val="32"/>
        </w:rPr>
        <w:t> </w:t>
      </w:r>
      <w:r>
        <w:rPr>
          <w:color w:val="6E6158"/>
        </w:rPr>
        <w:t>federal</w:t>
      </w:r>
      <w:r>
        <w:rPr>
          <w:color w:val="6E6158"/>
          <w:spacing w:val="32"/>
        </w:rPr>
        <w:t> </w:t>
      </w:r>
      <w:r>
        <w:rPr>
          <w:color w:val="6E6158"/>
        </w:rPr>
        <w:t>laws,</w:t>
      </w:r>
      <w:r>
        <w:rPr>
          <w:color w:val="6E6158"/>
          <w:spacing w:val="32"/>
        </w:rPr>
        <w:t> </w:t>
      </w:r>
      <w:r>
        <w:rPr>
          <w:color w:val="6E6158"/>
        </w:rPr>
        <w:t>including</w:t>
      </w:r>
    </w:p>
    <w:p>
      <w:pPr>
        <w:pStyle w:val="BodyText"/>
        <w:spacing w:line="295" w:lineRule="auto" w:before="9"/>
        <w:ind w:left="104" w:right="393"/>
      </w:pPr>
      <w:r>
        <w:rPr>
          <w:color w:val="6E6158"/>
        </w:rPr>
        <w:t>ERISA, the Affordable Care Act, COBRA, and HIPAA. He reviews and consults on a variety of qualified plan issues, including drafting, revising, and terminating 401(k) plans, profit sharing</w:t>
      </w:r>
      <w:r>
        <w:rPr>
          <w:color w:val="6E6158"/>
          <w:spacing w:val="40"/>
        </w:rPr>
        <w:t> </w:t>
      </w:r>
      <w:r>
        <w:rPr>
          <w:color w:val="6E6158"/>
        </w:rPr>
        <w:t>plans, ESOPs, and pension plans. He guides clients through IRS audits and U.S. Department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Labor investigations. As a litigator, he has defended plans in benefit disputes, pursued plan participants</w:t>
      </w:r>
      <w:r>
        <w:rPr>
          <w:color w:val="6E6158"/>
          <w:spacing w:val="20"/>
        </w:rPr>
        <w:t> </w:t>
      </w:r>
      <w:r>
        <w:rPr>
          <w:color w:val="6E6158"/>
        </w:rPr>
        <w:t>who</w:t>
      </w:r>
      <w:r>
        <w:rPr>
          <w:color w:val="6E6158"/>
          <w:spacing w:val="20"/>
        </w:rPr>
        <w:t> </w:t>
      </w:r>
      <w:r>
        <w:rPr>
          <w:color w:val="6E6158"/>
        </w:rPr>
        <w:t>improperly</w:t>
      </w:r>
      <w:r>
        <w:rPr>
          <w:color w:val="6E6158"/>
          <w:spacing w:val="20"/>
        </w:rPr>
        <w:t> </w:t>
      </w:r>
      <w:r>
        <w:rPr>
          <w:color w:val="6E6158"/>
        </w:rPr>
        <w:t>received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retained</w:t>
      </w:r>
      <w:r>
        <w:rPr>
          <w:color w:val="6E6158"/>
          <w:spacing w:val="20"/>
        </w:rPr>
        <w:t> </w:t>
      </w:r>
      <w:r>
        <w:rPr>
          <w:color w:val="6E6158"/>
        </w:rPr>
        <w:t>benefits,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held</w:t>
      </w:r>
      <w:r>
        <w:rPr>
          <w:color w:val="6E6158"/>
          <w:spacing w:val="20"/>
        </w:rPr>
        <w:t> </w:t>
      </w:r>
      <w:r>
        <w:rPr>
          <w:color w:val="6E6158"/>
        </w:rPr>
        <w:t>investment</w:t>
      </w:r>
      <w:r>
        <w:rPr>
          <w:color w:val="6E6158"/>
          <w:spacing w:val="20"/>
        </w:rPr>
        <w:t> </w:t>
      </w:r>
      <w:r>
        <w:rPr>
          <w:color w:val="6E6158"/>
        </w:rPr>
        <w:t>managers</w:t>
      </w:r>
    </w:p>
    <w:p>
      <w:pPr>
        <w:pStyle w:val="BodyText"/>
        <w:spacing w:line="295" w:lineRule="auto"/>
        <w:ind w:left="104" w:right="289"/>
      </w:pPr>
      <w:r>
        <w:rPr>
          <w:color w:val="6E6158"/>
        </w:rPr>
        <w:t>accountable who engaged in prohibited transactions and breached their fiduciary duty. Ryan</w:t>
      </w:r>
      <w:r>
        <w:rPr>
          <w:color w:val="6E6158"/>
          <w:spacing w:val="40"/>
        </w:rPr>
        <w:t> </w:t>
      </w:r>
      <w:r>
        <w:rPr>
          <w:color w:val="6E6158"/>
        </w:rPr>
        <w:t>also helps employers that have obligations to Taft-Hartley multiemployer plans navigate through</w:t>
      </w:r>
      <w:r>
        <w:rPr>
          <w:color w:val="6E6158"/>
          <w:spacing w:val="40"/>
        </w:rPr>
        <w:t> </w:t>
      </w:r>
      <w:r>
        <w:rPr>
          <w:color w:val="6E6158"/>
        </w:rPr>
        <w:t>issues related to benefit trust fund contributions and withdrawal liability. He works closely with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firm’s business and finance practice group in performing benefit plan due diligence work in</w:t>
      </w:r>
      <w:r>
        <w:rPr>
          <w:color w:val="6E6158"/>
          <w:spacing w:val="40"/>
        </w:rPr>
        <w:t> </w:t>
      </w:r>
      <w:r>
        <w:rPr>
          <w:color w:val="6E6158"/>
        </w:rPr>
        <w:t>mergers and acquisitions.</w:t>
      </w:r>
    </w:p>
    <w:p>
      <w:pPr>
        <w:pStyle w:val="BodyText"/>
        <w:spacing w:line="295" w:lineRule="auto" w:before="195"/>
        <w:ind w:left="104" w:right="316"/>
      </w:pPr>
      <w:r>
        <w:rPr>
          <w:color w:val="6E6158"/>
        </w:rPr>
        <w:t>Ryan is a member of the IRS Pacific Coast TE/GE Council, which is composed of private</w:t>
      </w:r>
      <w:r>
        <w:rPr>
          <w:color w:val="6E6158"/>
          <w:spacing w:val="40"/>
        </w:rPr>
        <w:t> </w:t>
      </w:r>
      <w:r>
        <w:rPr>
          <w:color w:val="6E6158"/>
        </w:rPr>
        <w:t>practitioners and serves as a sounding board to the IRS on matters related to retirement policy,</w:t>
      </w:r>
      <w:r>
        <w:rPr>
          <w:color w:val="6E6158"/>
          <w:spacing w:val="40"/>
        </w:rPr>
        <w:t> </w:t>
      </w:r>
      <w:r>
        <w:rPr>
          <w:color w:val="6E6158"/>
        </w:rPr>
        <w:t>tax issues, procedures, and IRS enforcement initiatives affecting employee benefits. Ryan also</w:t>
      </w:r>
      <w:r>
        <w:rPr>
          <w:color w:val="6E6158"/>
          <w:spacing w:val="40"/>
        </w:rPr>
        <w:t> </w:t>
      </w:r>
      <w:r>
        <w:rPr>
          <w:color w:val="6E6158"/>
        </w:rPr>
        <w:t>serves on the Board of Directors for the Greater Phoenix Chamber of Commerce and currently</w:t>
      </w:r>
      <w:r>
        <w:rPr>
          <w:color w:val="6E6158"/>
          <w:spacing w:val="40"/>
        </w:rPr>
        <w:t> </w:t>
      </w:r>
      <w:r>
        <w:rPr>
          <w:color w:val="6E6158"/>
        </w:rPr>
        <w:t>serves</w:t>
      </w:r>
      <w:r>
        <w:rPr>
          <w:color w:val="6E6158"/>
          <w:spacing w:val="17"/>
        </w:rPr>
        <w:t> </w:t>
      </w:r>
      <w:r>
        <w:rPr>
          <w:color w:val="6E6158"/>
        </w:rPr>
        <w:t>as</w:t>
      </w:r>
      <w:r>
        <w:rPr>
          <w:color w:val="6E6158"/>
          <w:spacing w:val="17"/>
        </w:rPr>
        <w:t> </w:t>
      </w:r>
      <w:r>
        <w:rPr>
          <w:color w:val="6E6158"/>
        </w:rPr>
        <w:t>its</w:t>
      </w:r>
      <w:r>
        <w:rPr>
          <w:color w:val="6E6158"/>
          <w:spacing w:val="17"/>
        </w:rPr>
        <w:t> </w:t>
      </w:r>
      <w:r>
        <w:rPr>
          <w:color w:val="6E6158"/>
        </w:rPr>
        <w:t>general</w:t>
      </w:r>
      <w:r>
        <w:rPr>
          <w:color w:val="6E6158"/>
          <w:spacing w:val="17"/>
        </w:rPr>
        <w:t> </w:t>
      </w:r>
      <w:r>
        <w:rPr>
          <w:color w:val="6E6158"/>
        </w:rPr>
        <w:t>counsel.</w:t>
      </w:r>
      <w:r>
        <w:rPr>
          <w:color w:val="6E6158"/>
          <w:spacing w:val="17"/>
        </w:rPr>
        <w:t> </w:t>
      </w:r>
      <w:r>
        <w:rPr>
          <w:color w:val="6E6158"/>
        </w:rPr>
        <w:t>Prior</w:t>
      </w:r>
      <w:r>
        <w:rPr>
          <w:color w:val="6E6158"/>
          <w:spacing w:val="17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career,</w:t>
      </w:r>
      <w:r>
        <w:rPr>
          <w:color w:val="6E6158"/>
          <w:spacing w:val="17"/>
        </w:rPr>
        <w:t> </w:t>
      </w:r>
      <w:r>
        <w:rPr>
          <w:color w:val="6E6158"/>
        </w:rPr>
        <w:t>Ryan</w:t>
      </w:r>
      <w:r>
        <w:rPr>
          <w:color w:val="6E6158"/>
          <w:spacing w:val="17"/>
        </w:rPr>
        <w:t> </w:t>
      </w:r>
      <w:r>
        <w:rPr>
          <w:color w:val="6E6158"/>
        </w:rPr>
        <w:t>was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senior</w:t>
      </w:r>
      <w:r>
        <w:rPr>
          <w:color w:val="6E6158"/>
          <w:spacing w:val="17"/>
        </w:rPr>
        <w:t> </w:t>
      </w:r>
      <w:r>
        <w:rPr>
          <w:color w:val="6E6158"/>
        </w:rPr>
        <w:t>legislative</w:t>
      </w:r>
      <w:r>
        <w:rPr>
          <w:color w:val="6E6158"/>
          <w:spacing w:val="17"/>
        </w:rPr>
        <w:t> </w:t>
      </w:r>
      <w:r>
        <w:rPr>
          <w:color w:val="6E6158"/>
        </w:rPr>
        <w:t>analyst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16"/>
      </w:pPr>
      <w:r>
        <w:rPr>
          <w:color w:val="6E6158"/>
        </w:rPr>
        <w:t>performance auditor with the Arizona Office of the Auditor General. While there, he </w:t>
      </w:r>
      <w:r>
        <w:rPr>
          <w:color w:val="6E6158"/>
        </w:rPr>
        <w:t>oversaw</w:t>
      </w:r>
      <w:r>
        <w:rPr>
          <w:color w:val="6E6158"/>
          <w:spacing w:val="40"/>
        </w:rPr>
        <w:t> </w:t>
      </w:r>
      <w:r>
        <w:rPr>
          <w:color w:val="6E6158"/>
        </w:rPr>
        <w:t>several audits of state agencies including Arizona’s Medicaid program.</w:t>
      </w:r>
    </w:p>
    <w:p>
      <w:pPr>
        <w:pStyle w:val="BodyText"/>
        <w:spacing w:line="292" w:lineRule="auto" w:before="205"/>
        <w:ind w:left="104" w:right="316"/>
      </w:pPr>
      <w:r>
        <w:rPr>
          <w:color w:val="6E6158"/>
        </w:rPr>
        <w:t>Outside of the office, Ryan plays golf and tennis and enjoys Arizona’s outdoor opportunities</w:t>
      </w:r>
      <w:r>
        <w:rPr>
          <w:color w:val="6E6158"/>
          <w:spacing w:val="40"/>
        </w:rPr>
        <w:t> </w:t>
      </w:r>
      <w:r>
        <w:rPr>
          <w:color w:val="6E6158"/>
        </w:rPr>
        <w:t>including hiking, fishing, and exploring offroad trails. Married and the father of three children,</w:t>
      </w:r>
      <w:r>
        <w:rPr>
          <w:color w:val="6E6158"/>
          <w:spacing w:val="40"/>
        </w:rPr>
        <w:t> </w:t>
      </w:r>
      <w:r>
        <w:rPr>
          <w:color w:val="6E6158"/>
        </w:rPr>
        <w:t>some of his best memories are of his kids’ music, drama, and sporting events.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49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152691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988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416224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613pt;width:1.65pt;height:1.65pt;mso-position-horizontal-relative:page;mso-position-vertical-relative:paragraph;z-index:15729664" id="docshape1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Wyoming College of </w:t>
      </w:r>
      <w:r>
        <w:rPr>
          <w:color w:val="6E6158"/>
        </w:rPr>
        <w:t>Law</w:t>
      </w:r>
      <w:r>
        <w:rPr>
          <w:color w:val="6E6158"/>
        </w:rPr>
        <w:t> M.A., Political Science, University of Utah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54629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1532pt;width:1.65pt;height:1.65pt;mso-position-horizontal-relative:page;mso-position-vertical-relative:paragraph;z-index:15730176" id="docshape16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Political</w:t>
      </w:r>
      <w:r>
        <w:rPr>
          <w:color w:val="6E6158"/>
          <w:spacing w:val="13"/>
        </w:rPr>
        <w:t> </w:t>
      </w:r>
      <w:r>
        <w:rPr>
          <w:color w:val="6E6158"/>
        </w:rPr>
        <w:t>Science,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169786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045pt;width:1.65pt;height:1.65pt;mso-position-horizontal-relative:page;mso-position-vertical-relative:paragraph;z-index:15730688" id="docshape1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Managing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Wyoming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Review,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Wyoming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College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5"/>
          <w:sz w:val="19"/>
        </w:rPr>
        <w:t>Law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65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BodyText"/>
        <w:spacing w:line="420" w:lineRule="auto"/>
        <w:ind w:right="68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59461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1992pt;width:1.65pt;height:1.65pt;mso-position-horizontal-relative:page;mso-position-vertical-relative:paragraph;z-index:15731200" id="docshape18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317826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5742pt;width:1.65pt;height:1.65pt;mso-position-horizontal-relative:page;mso-position-vertical-relative:paragraph;z-index:15731712" id="docshape19" coordorigin="1675,501" coordsize="33,33" path="m1696,533l1687,533,1683,531,1676,525,1675,521,1675,512,1676,508,1683,502,1687,501,1696,501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Retirement Plans Health Care </w:t>
      </w:r>
      <w:r>
        <w:rPr>
          <w:color w:val="6E6158"/>
        </w:rPr>
        <w:t>Plans</w:t>
      </w:r>
    </w:p>
    <w:p>
      <w:pPr>
        <w:pStyle w:val="BodyText"/>
        <w:spacing w:line="420" w:lineRule="auto" w:before="6"/>
        <w:ind w:right="49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63619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9397pt;width:1.65pt;height:1.65pt;mso-position-horizontal-relative:page;mso-position-vertical-relative:paragraph;z-index:15732224" id="docshape2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321984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3146pt;width:1.65pt;height:1.65pt;mso-position-horizontal-relative:page;mso-position-vertical-relative:paragraph;z-index:15732736" id="docshape21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Multiemployer Plan Withdrawal </w:t>
      </w:r>
      <w:r>
        <w:rPr>
          <w:color w:val="6E6158"/>
        </w:rPr>
        <w:t>Liability </w:t>
      </w:r>
      <w:r>
        <w:rPr>
          <w:color w:val="6E6158"/>
          <w:spacing w:val="-2"/>
        </w:rPr>
        <w:t>ERISA</w:t>
      </w:r>
    </w:p>
    <w:p>
      <w:pPr>
        <w:pStyle w:val="BodyText"/>
        <w:spacing w:line="420" w:lineRule="auto"/>
        <w:ind w:right="68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58800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9928pt;width:1.65pt;height:1.65pt;mso-position-horizontal-relative:page;mso-position-vertical-relative:paragraph;z-index:15733248" id="docshape22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317165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3677pt;width:1.65pt;height:1.65pt;mso-position-horizontal-relative:page;mso-position-vertical-relative:paragraph;z-index:15733760" id="docshape23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Health Care</w:t>
      </w:r>
    </w:p>
    <w:p>
      <w:pPr>
        <w:pStyle w:val="Heading1"/>
        <w:spacing w:before="167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6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152440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192pt;width:1.65pt;height:1.65pt;mso-position-horizontal-relative:page;mso-position-vertical-relative:paragraph;z-index:15734272" id="docshape2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plan sponsor in lengthy Department of Labor investigation of a terminated </w:t>
      </w:r>
      <w:r>
        <w:rPr>
          <w:color w:val="6E6158"/>
        </w:rPr>
        <w:t>ESOP</w:t>
      </w:r>
      <w:r>
        <w:rPr>
          <w:color w:val="6E6158"/>
          <w:spacing w:val="40"/>
        </w:rPr>
        <w:t> </w:t>
      </w:r>
      <w:r>
        <w:rPr>
          <w:color w:val="6E6158"/>
        </w:rPr>
        <w:t>and the related transactions and negotiated a significantly reduced penalty.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138012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165pt;width:1.65pt;height:1.65pt;mso-position-horizontal-relative:page;mso-position-vertical-relative:paragraph;z-index:15734784" id="docshape2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</w:t>
      </w:r>
      <w:r>
        <w:rPr>
          <w:color w:val="6E6158"/>
          <w:spacing w:val="14"/>
        </w:rPr>
        <w:t> </w:t>
      </w:r>
      <w:r>
        <w:rPr>
          <w:color w:val="6E6158"/>
        </w:rPr>
        <w:t>defended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large</w:t>
      </w:r>
      <w:r>
        <w:rPr>
          <w:color w:val="6E6158"/>
          <w:spacing w:val="15"/>
        </w:rPr>
        <w:t> </w:t>
      </w:r>
      <w:r>
        <w:rPr>
          <w:color w:val="6E6158"/>
        </w:rPr>
        <w:t>governmental</w:t>
      </w:r>
      <w:r>
        <w:rPr>
          <w:color w:val="6E6158"/>
          <w:spacing w:val="15"/>
        </w:rPr>
        <w:t> </w:t>
      </w:r>
      <w:r>
        <w:rPr>
          <w:color w:val="6E6158"/>
        </w:rPr>
        <w:t>retirement</w:t>
      </w:r>
      <w:r>
        <w:rPr>
          <w:color w:val="6E6158"/>
          <w:spacing w:val="15"/>
        </w:rPr>
        <w:t> </w:t>
      </w:r>
      <w:r>
        <w:rPr>
          <w:color w:val="6E6158"/>
        </w:rPr>
        <w:t>plan</w:t>
      </w:r>
      <w:r>
        <w:rPr>
          <w:color w:val="6E6158"/>
          <w:spacing w:val="15"/>
        </w:rPr>
        <w:t> </w:t>
      </w:r>
      <w:r>
        <w:rPr>
          <w:color w:val="6E6158"/>
        </w:rPr>
        <w:t>before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Supreme</w:t>
      </w:r>
    </w:p>
    <w:p>
      <w:pPr>
        <w:pStyle w:val="BodyText"/>
        <w:spacing w:line="292" w:lineRule="auto" w:before="60"/>
        <w:ind w:right="11"/>
      </w:pP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defeating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claim</w:t>
      </w:r>
      <w:r>
        <w:rPr>
          <w:color w:val="6E6158"/>
          <w:spacing w:val="26"/>
        </w:rPr>
        <w:t> </w:t>
      </w:r>
      <w:r>
        <w:rPr>
          <w:color w:val="6E6158"/>
        </w:rPr>
        <w:t>by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plan</w:t>
      </w:r>
      <w:r>
        <w:rPr>
          <w:color w:val="6E6158"/>
          <w:spacing w:val="26"/>
        </w:rPr>
        <w:t> </w:t>
      </w:r>
      <w:r>
        <w:rPr>
          <w:color w:val="6E6158"/>
        </w:rPr>
        <w:t>participant</w:t>
      </w:r>
      <w:r>
        <w:rPr>
          <w:color w:val="6E6158"/>
          <w:spacing w:val="26"/>
        </w:rPr>
        <w:t> </w:t>
      </w:r>
      <w:r>
        <w:rPr>
          <w:color w:val="6E6158"/>
        </w:rPr>
        <w:t>seeking</w:t>
      </w:r>
      <w:r>
        <w:rPr>
          <w:color w:val="6E6158"/>
          <w:spacing w:val="26"/>
        </w:rPr>
        <w:t> </w:t>
      </w:r>
      <w:r>
        <w:rPr>
          <w:color w:val="6E6158"/>
        </w:rPr>
        <w:t>retroactive</w:t>
      </w:r>
      <w:r>
        <w:rPr>
          <w:color w:val="6E6158"/>
          <w:spacing w:val="26"/>
        </w:rPr>
        <w:t> </w:t>
      </w:r>
      <w:r>
        <w:rPr>
          <w:color w:val="6E6158"/>
        </w:rPr>
        <w:t>retirement</w:t>
      </w:r>
      <w:r>
        <w:rPr>
          <w:color w:val="6E6158"/>
          <w:spacing w:val="26"/>
        </w:rPr>
        <w:t> </w:t>
      </w:r>
      <w:r>
        <w:rPr>
          <w:color w:val="6E6158"/>
        </w:rPr>
        <w:t>benefits</w:t>
      </w:r>
      <w:r>
        <w:rPr>
          <w:color w:val="6E6158"/>
          <w:spacing w:val="26"/>
        </w:rPr>
        <w:t> </w:t>
      </w:r>
      <w:r>
        <w:rPr>
          <w:color w:val="6E6158"/>
        </w:rPr>
        <w:t>based on the date the participant first became eligible rather than when the participant applied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benefits as required under Arizona law.</w:t>
      </w:r>
    </w:p>
    <w:p>
      <w:pPr>
        <w:pStyle w:val="BodyText"/>
        <w:spacing w:line="30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137939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357pt;width:1.65pt;height:1.65pt;mso-position-horizontal-relative:page;mso-position-vertical-relative:paragraph;z-index:15735296" id="docshape2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large charter school organization in lengthy and complex investigation of its </w:t>
      </w:r>
      <w:r>
        <w:rPr>
          <w:color w:val="6E6158"/>
        </w:rPr>
        <w:t>health</w:t>
      </w:r>
      <w:r>
        <w:rPr>
          <w:color w:val="6E6158"/>
          <w:spacing w:val="40"/>
        </w:rPr>
        <w:t> </w:t>
      </w:r>
      <w:r>
        <w:rPr>
          <w:color w:val="6E6158"/>
        </w:rPr>
        <w:t>plan by the Department of Labor. The investigation closed with no negative findings.</w:t>
      </w:r>
    </w:p>
    <w:p>
      <w:pPr>
        <w:pStyle w:val="BodyText"/>
        <w:spacing w:line="292" w:lineRule="auto" w:before="11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131449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0389pt;width:1.65pt;height:1.65pt;mso-position-horizontal-relative:page;mso-position-vertical-relative:paragraph;z-index:15735808" id="docshape27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plan sponsor in lengthy Department of Labor investigation involving $9 million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alleged</w:t>
      </w:r>
      <w:r>
        <w:rPr>
          <w:color w:val="6E6158"/>
          <w:spacing w:val="26"/>
        </w:rPr>
        <w:t> </w:t>
      </w:r>
      <w:r>
        <w:rPr>
          <w:color w:val="6E6158"/>
        </w:rPr>
        <w:t>plan</w:t>
      </w:r>
      <w:r>
        <w:rPr>
          <w:color w:val="6E6158"/>
          <w:spacing w:val="26"/>
        </w:rPr>
        <w:t> </w:t>
      </w:r>
      <w:r>
        <w:rPr>
          <w:color w:val="6E6158"/>
        </w:rPr>
        <w:t>losses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other</w:t>
      </w:r>
      <w:r>
        <w:rPr>
          <w:color w:val="6E6158"/>
          <w:spacing w:val="26"/>
        </w:rPr>
        <w:t> </w:t>
      </w:r>
      <w:r>
        <w:rPr>
          <w:color w:val="6E6158"/>
        </w:rPr>
        <w:t>restitution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negotiated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resolution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just</w:t>
      </w:r>
      <w:r>
        <w:rPr>
          <w:color w:val="6E6158"/>
          <w:spacing w:val="26"/>
        </w:rPr>
        <w:t> </w:t>
      </w:r>
      <w:r>
        <w:rPr>
          <w:color w:val="6E6158"/>
        </w:rPr>
        <w:t>3%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what</w:t>
      </w:r>
    </w:p>
    <w:p>
      <w:pPr>
        <w:pStyle w:val="BodyText"/>
        <w:spacing w:before="1"/>
      </w:pPr>
      <w:r>
        <w:rPr>
          <w:color w:val="6E6158"/>
        </w:rPr>
        <w:t>Department</w:t>
      </w:r>
      <w:r>
        <w:rPr>
          <w:color w:val="6E6158"/>
          <w:spacing w:val="20"/>
        </w:rPr>
        <w:t> </w:t>
      </w:r>
      <w:r>
        <w:rPr>
          <w:color w:val="6E6158"/>
        </w:rPr>
        <w:t>originally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sought.</w:t>
      </w:r>
    </w:p>
    <w:p>
      <w:pPr>
        <w:pStyle w:val="BodyText"/>
        <w:spacing w:line="292" w:lineRule="auto" w:before="18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175439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157pt;width:1.65pt;height:1.65pt;mso-position-horizontal-relative:page;mso-position-vertical-relative:paragraph;z-index:15736320" id="docshape2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health insurance carrier involved in a Department of Labor investigation of a</w:t>
      </w:r>
      <w:r>
        <w:rPr>
          <w:color w:val="6E6158"/>
          <w:spacing w:val="40"/>
        </w:rPr>
        <w:t> </w:t>
      </w:r>
      <w:r>
        <w:rPr>
          <w:color w:val="6E6158"/>
        </w:rPr>
        <w:t>multiemployer health plan the carrier insured. The investigation focused on processes </w:t>
      </w:r>
      <w:r>
        <w:rPr>
          <w:color w:val="6E6158"/>
        </w:rPr>
        <w:t>the carrier administered but closed with no findings against the carrier.</w:t>
      </w:r>
    </w:p>
    <w:p>
      <w:pPr>
        <w:pStyle w:val="BodyText"/>
        <w:spacing w:line="292" w:lineRule="auto" w:before="13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143070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429pt;width:1.65pt;height:1.65pt;mso-position-horizontal-relative:page;mso-position-vertical-relative:paragraph;z-index:15736832" id="docshape2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judgment against a company created to avoid multiemployer benefit trust </w:t>
      </w:r>
      <w:r>
        <w:rPr>
          <w:color w:val="6E6158"/>
        </w:rPr>
        <w:t>fund</w:t>
      </w:r>
      <w:r>
        <w:rPr>
          <w:color w:val="6E6158"/>
          <w:spacing w:val="40"/>
        </w:rPr>
        <w:t> </w:t>
      </w:r>
      <w:r>
        <w:rPr>
          <w:color w:val="6E6158"/>
        </w:rPr>
        <w:t>obligations owed by a prior alter ego company.</w:t>
      </w:r>
    </w:p>
    <w:p>
      <w:pPr>
        <w:pStyle w:val="BodyText"/>
        <w:spacing w:line="29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137533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9402pt;width:1.65pt;height:1.65pt;mso-position-horizontal-relative:page;mso-position-vertical-relative:paragraph;z-index:15737344" id="docshape30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judgment against individual owners of a company for fiduciary liability tied to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company’s failure to make all contributions to multiemployer benefit trust funds.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7856" id="docshape3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in obtaining judgment against pension plan’s investment manager and </w:t>
      </w:r>
      <w:r>
        <w:rPr>
          <w:color w:val="6E6158"/>
        </w:rPr>
        <w:t>investment</w:t>
      </w:r>
      <w:r>
        <w:rPr>
          <w:color w:val="6E6158"/>
          <w:spacing w:val="40"/>
        </w:rPr>
        <w:t> </w:t>
      </w:r>
      <w:r>
        <w:rPr>
          <w:color w:val="6E6158"/>
        </w:rPr>
        <w:t>consultant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overcharging</w:t>
      </w:r>
      <w:r>
        <w:rPr>
          <w:color w:val="6E6158"/>
          <w:spacing w:val="40"/>
        </w:rPr>
        <w:t> </w:t>
      </w:r>
      <w:r>
        <w:rPr>
          <w:color w:val="6E6158"/>
        </w:rPr>
        <w:t>commissions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engaging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prohibited</w:t>
      </w:r>
      <w:r>
        <w:rPr>
          <w:color w:val="6E6158"/>
          <w:spacing w:val="40"/>
        </w:rPr>
        <w:t> </w:t>
      </w:r>
      <w:r>
        <w:rPr>
          <w:color w:val="6E6158"/>
        </w:rPr>
        <w:t>transactions.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38368" id="docshape3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</w:t>
      </w:r>
      <w:r>
        <w:rPr>
          <w:color w:val="6E6158"/>
          <w:spacing w:val="13"/>
        </w:rPr>
        <w:t> </w:t>
      </w:r>
      <w:r>
        <w:rPr>
          <w:color w:val="6E6158"/>
        </w:rPr>
        <w:t>numerous</w:t>
      </w:r>
      <w:r>
        <w:rPr>
          <w:color w:val="6E6158"/>
          <w:spacing w:val="13"/>
        </w:rPr>
        <w:t> </w:t>
      </w:r>
      <w:r>
        <w:rPr>
          <w:color w:val="6E6158"/>
        </w:rPr>
        <w:t>employee</w:t>
      </w:r>
      <w:r>
        <w:rPr>
          <w:color w:val="6E6158"/>
          <w:spacing w:val="13"/>
        </w:rPr>
        <w:t> </w:t>
      </w:r>
      <w:r>
        <w:rPr>
          <w:color w:val="6E6158"/>
        </w:rPr>
        <w:t>benefit</w:t>
      </w:r>
      <w:r>
        <w:rPr>
          <w:color w:val="6E6158"/>
          <w:spacing w:val="13"/>
        </w:rPr>
        <w:t> </w:t>
      </w:r>
      <w:r>
        <w:rPr>
          <w:color w:val="6E6158"/>
        </w:rPr>
        <w:t>plans</w:t>
      </w:r>
      <w:r>
        <w:rPr>
          <w:color w:val="6E6158"/>
          <w:spacing w:val="14"/>
        </w:rPr>
        <w:t> </w:t>
      </w:r>
      <w:r>
        <w:rPr>
          <w:color w:val="6E6158"/>
        </w:rPr>
        <w:t>during</w:t>
      </w:r>
      <w:r>
        <w:rPr>
          <w:color w:val="6E6158"/>
          <w:spacing w:val="13"/>
        </w:rPr>
        <w:t> </w:t>
      </w:r>
      <w:r>
        <w:rPr>
          <w:color w:val="6E6158"/>
        </w:rPr>
        <w:t>IRS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Department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Labor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audits.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152561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714pt;width:1.65pt;height:1.65pt;mso-position-horizontal-relative:page;mso-position-vertical-relative:paragraph;z-index:15738880" id="docshape3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Distinguished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Writing</w:t>
      </w:r>
      <w:r>
        <w:rPr>
          <w:color w:val="6E6158"/>
          <w:spacing w:val="12"/>
        </w:rPr>
        <w:t> </w:t>
      </w:r>
      <w:r>
        <w:rPr>
          <w:color w:val="6E6158"/>
        </w:rPr>
        <w:t>Award,</w:t>
      </w:r>
      <w:r>
        <w:rPr>
          <w:color w:val="6E6158"/>
          <w:spacing w:val="12"/>
        </w:rPr>
        <w:t> </w:t>
      </w:r>
      <w:r>
        <w:rPr>
          <w:color w:val="6E6158"/>
        </w:rPr>
        <w:t>Law360,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170291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759pt;width:1.65pt;height:1.65pt;mso-position-horizontal-relative:page;mso-position-vertical-relative:paragraph;z-index:15739392" id="docshape3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157881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608pt;width:1.65pt;height:1.65pt;mso-position-horizontal-relative:page;mso-position-vertical-relative:paragraph;z-index:15739904" id="docshape35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Co-Author, Buying Or Selling A Business? Don’t Forget To Look Out For These Employee Benefits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Issues!, Fennemore Blog, June 26, 2024</w:t>
        </w:r>
      </w:hyperlink>
    </w:p>
    <w:p>
      <w:pPr>
        <w:pStyle w:val="BodyText"/>
        <w:spacing w:line="29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137738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582pt;width:1.65pt;height:1.65pt;mso-position-horizontal-relative:page;mso-position-vertical-relative:paragraph;z-index:15740416" id="docshape36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Co-Author “New 401(k) Plan Rules Impose Mandatory Eligibility Requirements for Part-</w:t>
        </w:r>
        <w:r>
          <w:rPr>
            <w:color w:val="F5821F"/>
          </w:rPr>
          <w:t>Time</w:t>
        </w:r>
      </w:hyperlink>
      <w:r>
        <w:rPr>
          <w:color w:val="F5821F"/>
          <w:spacing w:val="40"/>
        </w:rPr>
        <w:t> </w:t>
      </w:r>
      <w:hyperlink r:id="rId12">
        <w:r>
          <w:rPr>
            <w:color w:val="F5821F"/>
          </w:rPr>
          <w:t>Employees in 2024,” Fennemore Client Alert, October 5, 2023</w:t>
        </w:r>
      </w:hyperlink>
    </w:p>
    <w:p>
      <w:pPr>
        <w:pStyle w:val="BodyText"/>
        <w:spacing w:line="292" w:lineRule="auto" w:before="132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143083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43pt;width:1.65pt;height:1.65pt;mso-position-horizontal-relative:page;mso-position-vertical-relative:paragraph;z-index:15740928" id="docshape3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Co-Author “Roth Catch-Up Contributions Under SECURE 2.0: The IRS Delays New </w:t>
        </w:r>
        <w:r>
          <w:rPr>
            <w:color w:val="F5821F"/>
          </w:rPr>
          <w:t>Requirements</w:t>
        </w:r>
      </w:hyperlink>
      <w:r>
        <w:rPr>
          <w:color w:val="F5821F"/>
          <w:spacing w:val="80"/>
        </w:rPr>
        <w:t> </w:t>
      </w:r>
      <w:hyperlink r:id="rId13">
        <w:r>
          <w:rPr>
            <w:color w:val="F5821F"/>
          </w:rPr>
          <w:t>to 2026,” Fennemore Client Alert, September 6, 2023</w:t>
        </w:r>
      </w:hyperlink>
    </w:p>
    <w:p>
      <w:pPr>
        <w:pStyle w:val="BodyText"/>
        <w:spacing w:line="29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137546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0403pt;width:1.65pt;height:1.65pt;mso-position-horizontal-relative:page;mso-position-vertical-relative:paragraph;z-index:15741440" id="docshape38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Co-Author, “Health Plans Must Attest They Have No “Gag Clause” By End of 2023: It’s Time To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Check Your Service Provider Agreement,” Fennemore Client Alert, August 24, 2023</w:t>
        </w:r>
      </w:hyperlink>
    </w:p>
    <w:p>
      <w:pPr>
        <w:pStyle w:val="BodyText"/>
        <w:spacing w:line="292" w:lineRule="auto" w:before="131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142890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251pt;width:1.65pt;height:1.65pt;mso-position-horizontal-relative:page;mso-position-vertical-relative:paragraph;z-index:15741952" id="docshape3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6600"/>
          </w:rPr>
          <w:t>Co-Author, “Congress Gives New and Enhanced Tools to Individuals and Employers </w:t>
        </w:r>
        <w:r>
          <w:rPr>
            <w:color w:val="FF6600"/>
          </w:rPr>
          <w:t>for</w:t>
        </w:r>
      </w:hyperlink>
      <w:r>
        <w:rPr>
          <w:color w:val="FF6600"/>
        </w:rPr>
        <w:t> </w:t>
      </w:r>
      <w:hyperlink r:id="rId15">
        <w:r>
          <w:rPr>
            <w:color w:val="FF6600"/>
          </w:rPr>
          <w:t>Retirement through SECURE Act 2.0,” Arizona Attorney Magazine, April 2023</w:t>
        </w:r>
      </w:hyperlink>
    </w:p>
    <w:p>
      <w:pPr>
        <w:pStyle w:val="BodyText"/>
        <w:spacing w:line="292" w:lineRule="auto" w:before="124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137988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225pt;width:1.65pt;height:1.65pt;mso-position-horizontal-relative:page;mso-position-vertical-relative:paragraph;z-index:15742464" id="docshape4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“Fennemore: Helping Businesses Thrive By Creating Possibilities,” Greater </w:t>
      </w:r>
      <w:r>
        <w:rPr>
          <w:color w:val="6E6158"/>
        </w:rPr>
        <w:t>Phoenix Chamber, February 2023</w:t>
      </w:r>
    </w:p>
    <w:p>
      <w:pPr>
        <w:pStyle w:val="BodyText"/>
        <w:spacing w:line="292" w:lineRule="auto" w:before="131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142698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073pt;width:1.65pt;height:1.65pt;mso-position-horizontal-relative:page;mso-position-vertical-relative:paragraph;z-index:15742976" id="docshape41" coordorigin="1675,225" coordsize="33,33" path="m1696,257l1687,257,1683,256,1676,249,1675,245,1675,237,1676,233,1683,226,1687,225,1696,225,1699,226,1706,233,1707,237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6600"/>
          </w:rPr>
          <w:t>Interviewed, “SECURE Act 2.0 gives Arizonans new and enhanced tools for </w:t>
        </w:r>
        <w:r>
          <w:rPr>
            <w:color w:val="FF6600"/>
          </w:rPr>
          <w:t>retirement,”</w:t>
        </w:r>
      </w:hyperlink>
      <w:r>
        <w:rPr>
          <w:color w:val="FF6600"/>
        </w:rPr>
        <w:t> </w:t>
      </w:r>
      <w:hyperlink r:id="rId16">
        <w:r>
          <w:rPr>
            <w:color w:val="FF6600"/>
          </w:rPr>
          <w:t>Arizona Horizon, January 24, 2023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137795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0046pt;width:1.65pt;height:1.65pt;mso-position-horizontal-relative:page;mso-position-vertical-relative:paragraph;z-index:15743488" id="docshape4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“SECURE</w:t>
      </w:r>
      <w:r>
        <w:rPr>
          <w:color w:val="6E6158"/>
          <w:spacing w:val="10"/>
        </w:rPr>
        <w:t> </w:t>
      </w:r>
      <w:r>
        <w:rPr>
          <w:color w:val="6E6158"/>
        </w:rPr>
        <w:t>Act</w:t>
      </w:r>
      <w:r>
        <w:rPr>
          <w:color w:val="6E6158"/>
          <w:spacing w:val="10"/>
        </w:rPr>
        <w:t> </w:t>
      </w:r>
      <w:r>
        <w:rPr>
          <w:color w:val="6E6158"/>
        </w:rPr>
        <w:t>2.0</w:t>
      </w:r>
      <w:r>
        <w:rPr>
          <w:color w:val="6E6158"/>
          <w:spacing w:val="11"/>
        </w:rPr>
        <w:t> </w:t>
      </w:r>
      <w:r>
        <w:rPr>
          <w:color w:val="6E6158"/>
        </w:rPr>
        <w:t>gives</w:t>
      </w:r>
      <w:r>
        <w:rPr>
          <w:color w:val="6E6158"/>
          <w:spacing w:val="10"/>
        </w:rPr>
        <w:t> </w:t>
      </w:r>
      <w:r>
        <w:rPr>
          <w:color w:val="6E6158"/>
        </w:rPr>
        <w:t>Arizonans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enhanced</w:t>
      </w:r>
      <w:r>
        <w:rPr>
          <w:color w:val="6E6158"/>
          <w:spacing w:val="10"/>
        </w:rPr>
        <w:t> </w:t>
      </w:r>
      <w:r>
        <w:rPr>
          <w:color w:val="6E6158"/>
        </w:rPr>
        <w:t>tools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retirement,”</w:t>
      </w:r>
    </w:p>
    <w:p>
      <w:pPr>
        <w:spacing w:before="50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InBusiness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Phoenix</w:t>
      </w:r>
      <w:r>
        <w:rPr>
          <w:color w:val="6E6158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December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30,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line="292" w:lineRule="auto" w:before="172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168692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2848pt;width:1.65pt;height:1.65pt;mso-position-horizontal-relative:page;mso-position-vertical-relative:paragraph;z-index:15744000" id="docshape43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“SECURE Act 2.0 gives Arizonans new and enhanced tools for retirement,” Arizona Digital Free Press, December 30, 2022</w:t>
      </w:r>
    </w:p>
    <w:p>
      <w:pPr>
        <w:pStyle w:val="BodyText"/>
        <w:spacing w:line="30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137754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821pt;width:1.65pt;height:1.65pt;mso-position-horizontal-relative:page;mso-position-vertical-relative:paragraph;z-index:15744512" id="docshape44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“SECURE Act 2.0 gives Arizonans new and enhanced tools for retirement,” AZ Big Media, December 29, 2022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131265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5853pt;width:1.65pt;height:1.65pt;mso-position-horizontal-relative:page;mso-position-vertical-relative:paragraph;z-index:15745024" id="docshape45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0"/>
        </w:rPr>
        <w:t> </w:t>
      </w:r>
      <w:r>
        <w:rPr>
          <w:color w:val="6E6158"/>
        </w:rPr>
        <w:t>“AZ</w:t>
      </w:r>
      <w:r>
        <w:rPr>
          <w:color w:val="6E6158"/>
          <w:spacing w:val="10"/>
        </w:rPr>
        <w:t> </w:t>
      </w:r>
      <w:r>
        <w:rPr>
          <w:color w:val="6E6158"/>
        </w:rPr>
        <w:t>Big</w:t>
      </w:r>
      <w:r>
        <w:rPr>
          <w:color w:val="6E6158"/>
          <w:spacing w:val="10"/>
        </w:rPr>
        <w:t> </w:t>
      </w:r>
      <w:r>
        <w:rPr>
          <w:color w:val="6E6158"/>
        </w:rPr>
        <w:t>Spotlight:</w:t>
      </w:r>
      <w:r>
        <w:rPr>
          <w:color w:val="6E6158"/>
          <w:spacing w:val="10"/>
        </w:rPr>
        <w:t> </w:t>
      </w:r>
      <w:r>
        <w:rPr>
          <w:color w:val="6E6158"/>
        </w:rPr>
        <w:t>Greater</w:t>
      </w:r>
      <w:r>
        <w:rPr>
          <w:color w:val="6E6158"/>
          <w:spacing w:val="11"/>
        </w:rPr>
        <w:t> </w:t>
      </w:r>
      <w:r>
        <w:rPr>
          <w:color w:val="6E6158"/>
        </w:rPr>
        <w:t>Phoenix</w:t>
      </w:r>
      <w:r>
        <w:rPr>
          <w:color w:val="6E6158"/>
          <w:spacing w:val="10"/>
        </w:rPr>
        <w:t> </w:t>
      </w:r>
      <w:r>
        <w:rPr>
          <w:color w:val="6E6158"/>
        </w:rPr>
        <w:t>Chamber,”</w:t>
      </w:r>
      <w:r>
        <w:rPr>
          <w:color w:val="6E6158"/>
          <w:spacing w:val="10"/>
        </w:rPr>
        <w:t> </w:t>
      </w:r>
      <w:r>
        <w:rPr>
          <w:color w:val="6E6158"/>
        </w:rPr>
        <w:t>AZ</w:t>
      </w:r>
      <w:r>
        <w:rPr>
          <w:color w:val="6E6158"/>
          <w:spacing w:val="10"/>
        </w:rPr>
        <w:t> </w:t>
      </w:r>
      <w:r>
        <w:rPr>
          <w:color w:val="6E6158"/>
        </w:rPr>
        <w:t>Big</w:t>
      </w:r>
      <w:r>
        <w:rPr>
          <w:color w:val="6E6158"/>
          <w:spacing w:val="10"/>
        </w:rPr>
        <w:t> </w:t>
      </w:r>
      <w:r>
        <w:rPr>
          <w:color w:val="6E6158"/>
        </w:rPr>
        <w:t>Media,</w:t>
      </w:r>
      <w:r>
        <w:rPr>
          <w:color w:val="6E6158"/>
          <w:spacing w:val="11"/>
        </w:rPr>
        <w:t> </w:t>
      </w:r>
      <w:r>
        <w:rPr>
          <w:color w:val="6E6158"/>
        </w:rPr>
        <w:t>June</w:t>
      </w:r>
      <w:r>
        <w:rPr>
          <w:color w:val="6E6158"/>
          <w:spacing w:val="10"/>
        </w:rPr>
        <w:t> </w:t>
      </w:r>
      <w:r>
        <w:rPr>
          <w:color w:val="6E6158"/>
        </w:rPr>
        <w:t>26,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88" w:lineRule="auto" w:before="164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169950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1897pt;width:1.65pt;height:1.65pt;mso-position-horizontal-relative:page;mso-position-vertical-relative:paragraph;z-index:15745536" id="docshape4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Co-author, “The New Mandatory COBRA Subsidy: What Employers Need to Know,”</w:t>
        </w:r>
      </w:hyperlink>
      <w:r>
        <w:rPr>
          <w:color w:val="FF8100"/>
        </w:rPr>
        <w:t> </w:t>
      </w:r>
      <w:hyperlink r:id="rId17">
        <w:r>
          <w:rPr>
            <w:i/>
            <w:color w:val="FF8100"/>
            <w:sz w:val="20"/>
          </w:rPr>
          <w:t>InBusiness</w:t>
        </w:r>
      </w:hyperlink>
      <w:hyperlink r:id="rId17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April 28, 2021</w:t>
        </w:r>
      </w:hyperlink>
    </w:p>
    <w:p>
      <w:pPr>
        <w:pStyle w:val="BodyText"/>
        <w:spacing w:line="292" w:lineRule="auto" w:before="136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145834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3009pt;width:1.65pt;height:1.65pt;mso-position-horizontal-relative:page;mso-position-vertical-relative:paragraph;z-index:15746048" id="docshape47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Co-author, “Employers Required to Temporarily Subsidize COBRA Premiums Subject </w:t>
        </w:r>
        <w:r>
          <w:rPr>
            <w:color w:val="FF8100"/>
          </w:rPr>
          <w:t>to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Reimbursement,” Fennemore Client Alert, April 6, 2021</w:t>
        </w:r>
      </w:hyperlink>
    </w:p>
    <w:p>
      <w:pPr>
        <w:pStyle w:val="BodyText"/>
        <w:spacing w:line="288" w:lineRule="auto" w:before="11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137756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982pt;width:1.65pt;height:1.65pt;mso-position-horizontal-relative:page;mso-position-vertical-relative:paragraph;z-index:15746560" id="docshape48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Co-author, “New COVID-19 Legislation Provides Partial Plan Termination Relief,”</w:t>
        </w:r>
      </w:hyperlink>
      <w:r>
        <w:rPr>
          <w:color w:val="FF8100"/>
        </w:rPr>
        <w:t> </w:t>
      </w:r>
      <w:hyperlink r:id="rId19">
        <w:r>
          <w:rPr>
            <w:i/>
            <w:color w:val="FF8100"/>
            <w:sz w:val="20"/>
          </w:rPr>
          <w:t>Mondaq</w:t>
        </w:r>
      </w:hyperlink>
      <w:hyperlink r:id="rId19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19">
        <w:r>
          <w:rPr>
            <w:color w:val="FF8100"/>
          </w:rPr>
          <w:t>January 8, 2021</w:t>
        </w:r>
      </w:hyperlink>
    </w:p>
    <w:p>
      <w:pPr>
        <w:pStyle w:val="BodyText"/>
        <w:spacing w:line="292" w:lineRule="auto" w:before="136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146025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8095pt;width:1.65pt;height:1.65pt;mso-position-horizontal-relative:page;mso-position-vertical-relative:paragraph;z-index:15747072" id="docshape49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Co-author, “New COVID-19 Legislation Provides Partial Plan Termination Relief,”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20">
        <w:r>
          <w:rPr>
            <w:color w:val="FF8100"/>
          </w:rPr>
          <w:t>Client Alert, January 7, 2021</w:t>
        </w:r>
      </w:hyperlink>
    </w:p>
    <w:p>
      <w:pPr>
        <w:pStyle w:val="BodyText"/>
        <w:spacing w:line="292" w:lineRule="auto" w:before="123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137948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068pt;width:1.65pt;height:1.65pt;mso-position-horizontal-relative:page;mso-position-vertical-relative:paragraph;z-index:15747584" id="docshape5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Co-author, “IRS Issues Initial Guidance on The SECURE Act,” Fennemore Client Alert, October</w:t>
        </w:r>
      </w:hyperlink>
      <w:r>
        <w:rPr>
          <w:color w:val="FF8100"/>
          <w:spacing w:val="80"/>
        </w:rPr>
        <w:t> </w:t>
      </w:r>
      <w:hyperlink r:id="rId21">
        <w:r>
          <w:rPr>
            <w:color w:val="FF8100"/>
          </w:rPr>
          <w:t>5, 2020</w:t>
        </w:r>
      </w:hyperlink>
    </w:p>
    <w:p>
      <w:pPr>
        <w:pStyle w:val="BodyText"/>
        <w:spacing w:line="292" w:lineRule="auto" w:before="13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143293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916pt;width:1.65pt;height:1.65pt;mso-position-horizontal-relative:page;mso-position-vertical-relative:paragraph;z-index:15748096" id="docshape51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Co-author, “Department of Labor Announces New Safe Harbor for Electronic</w:t>
        </w:r>
      </w:hyperlink>
      <w:r>
        <w:rPr>
          <w:color w:val="FF8100"/>
          <w:spacing w:val="80"/>
        </w:rPr>
        <w:t> </w:t>
      </w:r>
      <w:hyperlink r:id="rId22">
        <w:r>
          <w:rPr>
            <w:color w:val="FF8100"/>
          </w:rPr>
          <w:t>Communications</w:t>
        </w:r>
        <w:r>
          <w:rPr>
            <w:color w:val="FF8100"/>
            <w:spacing w:val="19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19"/>
          </w:rPr>
          <w:t> </w:t>
        </w:r>
        <w:r>
          <w:rPr>
            <w:color w:val="FF8100"/>
          </w:rPr>
          <w:t>Participants</w:t>
        </w:r>
        <w:r>
          <w:rPr>
            <w:color w:val="FF8100"/>
            <w:spacing w:val="19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9"/>
          </w:rPr>
          <w:t> </w:t>
        </w:r>
        <w:r>
          <w:rPr>
            <w:color w:val="FF8100"/>
          </w:rPr>
          <w:t>Qualified</w:t>
        </w:r>
        <w:r>
          <w:rPr>
            <w:color w:val="FF8100"/>
            <w:spacing w:val="19"/>
          </w:rPr>
          <w:t> </w:t>
        </w:r>
        <w:r>
          <w:rPr>
            <w:color w:val="FF8100"/>
          </w:rPr>
          <w:t>Retirement</w:t>
        </w:r>
        <w:r>
          <w:rPr>
            <w:color w:val="FF8100"/>
            <w:spacing w:val="19"/>
          </w:rPr>
          <w:t> </w:t>
        </w:r>
        <w:r>
          <w:rPr>
            <w:color w:val="FF8100"/>
          </w:rPr>
          <w:t>Plans,”</w:t>
        </w:r>
        <w:r>
          <w:rPr>
            <w:color w:val="FF8100"/>
            <w:spacing w:val="19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9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9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9"/>
          </w:rPr>
          <w:t> </w:t>
        </w:r>
        <w:r>
          <w:rPr>
            <w:color w:val="FF8100"/>
          </w:rPr>
          <w:t>May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hyperlink r:id="rId22">
        <w:r>
          <w:rPr>
            <w:color w:val="FF8100"/>
          </w:rPr>
          <w:t>22,</w:t>
        </w:r>
        <w:r>
          <w:rPr>
            <w:color w:val="FF8100"/>
            <w:spacing w:val="6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302" w:lineRule="auto" w:before="174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170170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256pt;width:1.65pt;height:1.65pt;mso-position-horizontal-relative:page;mso-position-vertical-relative:paragraph;z-index:15748608" id="docshape5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“DOL and IRS Issue New Coronavirus-Related Guidance and Relief for </w:t>
      </w:r>
      <w:r>
        <w:rPr>
          <w:color w:val="6E6158"/>
        </w:rPr>
        <w:t>Employee Benefit Plans,” Fennemore Client Alert, April 30, 2020</w:t>
      </w:r>
    </w:p>
    <w:p>
      <w:pPr>
        <w:pStyle w:val="BodyText"/>
        <w:spacing w:line="292" w:lineRule="auto" w:before="11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131296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87pt;width:1.65pt;height:1.65pt;mso-position-horizontal-relative:page;mso-position-vertical-relative:paragraph;z-index:15749120" id="docshape5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Co-author, “The CARES Act: Implications for Health and Welfare Benefits,” Fennemore Client</w:t>
        </w:r>
      </w:hyperlink>
      <w:r>
        <w:rPr>
          <w:color w:val="FF8100"/>
        </w:rPr>
        <w:t> </w:t>
      </w:r>
      <w:hyperlink r:id="rId23">
        <w:r>
          <w:rPr>
            <w:color w:val="FF8100"/>
          </w:rPr>
          <w:t>Alert, April 20, 2020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137823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261pt;width:1.65pt;height:1.65pt;mso-position-horizontal-relative:page;mso-position-vertical-relative:paragraph;z-index:15749632" id="docshape5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F8100"/>
          </w:rPr>
          <w:t>Co-author,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“The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SECURE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Act: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What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Employers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Sponsoring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Retirement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Plans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Need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12"/>
          </w:rPr>
          <w:t> </w:t>
        </w:r>
        <w:r>
          <w:rPr>
            <w:color w:val="FF8100"/>
            <w:spacing w:val="-2"/>
          </w:rPr>
          <w:t>Know,”</w:t>
        </w:r>
      </w:hyperlink>
    </w:p>
    <w:p>
      <w:pPr>
        <w:spacing w:before="50"/>
        <w:ind w:left="356" w:right="0" w:firstLine="0"/>
        <w:jc w:val="left"/>
        <w:rPr>
          <w:sz w:val="19"/>
        </w:rPr>
      </w:pPr>
      <w:hyperlink r:id="rId24">
        <w:r>
          <w:rPr>
            <w:i/>
            <w:color w:val="FF8100"/>
            <w:sz w:val="20"/>
          </w:rPr>
          <w:t>InBusiness,</w:t>
        </w:r>
      </w:hyperlink>
      <w:r>
        <w:rPr>
          <w:i/>
          <w:color w:val="FF8100"/>
          <w:spacing w:val="-9"/>
          <w:sz w:val="20"/>
        </w:rPr>
        <w:t> </w:t>
      </w:r>
      <w:hyperlink r:id="rId24">
        <w:r>
          <w:rPr>
            <w:color w:val="FF8100"/>
            <w:sz w:val="19"/>
          </w:rPr>
          <w:t>April</w:t>
        </w:r>
        <w:r>
          <w:rPr>
            <w:color w:val="FF8100"/>
            <w:spacing w:val="-5"/>
            <w:sz w:val="19"/>
          </w:rPr>
          <w:t> </w:t>
        </w:r>
        <w:r>
          <w:rPr>
            <w:color w:val="FF8100"/>
            <w:sz w:val="19"/>
          </w:rPr>
          <w:t>1,</w:t>
        </w:r>
        <w:r>
          <w:rPr>
            <w:color w:val="FF8100"/>
            <w:spacing w:val="-5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292" w:lineRule="auto" w:before="172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168720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5062pt;width:1.65pt;height:1.65pt;mso-position-horizontal-relative:page;mso-position-vertical-relative:paragraph;z-index:15750144" id="docshape55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</w:rPr>
          <w:t>Co-author, “The CARES Act: Implications for Qualified Retirement Plans,”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5">
        <w:r>
          <w:rPr>
            <w:color w:val="FF8100"/>
          </w:rPr>
          <w:t>Alert, March 30, 2020</w:t>
        </w:r>
      </w:hyperlink>
    </w:p>
    <w:p>
      <w:pPr>
        <w:pStyle w:val="BodyText"/>
        <w:spacing w:line="30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137782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035pt;width:1.65pt;height:1.65pt;mso-position-horizontal-relative:page;mso-position-vertical-relative:paragraph;z-index:15750656" id="docshape5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6">
        <w:r>
          <w:rPr>
            <w:color w:val="FF8100"/>
          </w:rPr>
          <w:t>Alert, March 26, 2020</w:t>
        </w:r>
      </w:hyperlink>
    </w:p>
    <w:p>
      <w:pPr>
        <w:pStyle w:val="BodyText"/>
        <w:spacing w:line="292" w:lineRule="auto" w:before="11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131293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067pt;width:1.65pt;height:1.65pt;mso-position-horizontal-relative:page;mso-position-vertical-relative:paragraph;z-index:15751168" id="docshape57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Co-author, “Understanding the Emergency Family Medical Leave Expansion Act and</w:t>
        </w:r>
      </w:hyperlink>
      <w:r>
        <w:rPr>
          <w:color w:val="FF8100"/>
        </w:rPr>
        <w:t> </w:t>
      </w:r>
      <w:hyperlink r:id="rId27">
        <w:r>
          <w:rPr>
            <w:color w:val="FF8100"/>
          </w:rPr>
          <w:t>Emergency Paid Sick Leave in the Families First Coronavirus Response Act,” Fennemore </w:t>
        </w:r>
        <w:r>
          <w:rPr>
            <w:color w:val="FF8100"/>
          </w:rPr>
          <w:t>Client</w:t>
        </w:r>
      </w:hyperlink>
      <w:r>
        <w:rPr>
          <w:color w:val="FF8100"/>
          <w:spacing w:val="40"/>
        </w:rPr>
        <w:t> </w:t>
      </w:r>
      <w:hyperlink r:id="rId27">
        <w:r>
          <w:rPr>
            <w:color w:val="FF8100"/>
          </w:rPr>
          <w:t>Alert, March 20, 2020</w:t>
        </w:r>
      </w:hyperlink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143374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934pt;width:1.65pt;height:1.65pt;mso-position-horizontal-relative:page;mso-position-vertical-relative:paragraph;z-index:15751680" id="docshape58" coordorigin="1675,226" coordsize="33,33" path="m1696,258l1687,258,1683,257,1676,250,1675,247,1675,238,1676,234,1683,227,1687,226,1696,226,1699,227,1706,234,1707,238,1707,242,1707,247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8">
        <w:r>
          <w:rPr>
            <w:color w:val="FF8100"/>
          </w:rPr>
          <w:t>Co-author,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“HIPAA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Implications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COVID-19,”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20,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74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169994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384pt;width:1.65pt;height:1.65pt;mso-position-horizontal-relative:page;mso-position-vertical-relative:paragraph;z-index:15752192" id="docshape59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9">
        <w:r>
          <w:rPr>
            <w:color w:val="FF8100"/>
          </w:rPr>
          <w:t>Co-author, “COVID-19 Testing and Treatment: Copays, Deductibles, and HSA </w:t>
        </w:r>
        <w:r>
          <w:rPr>
            <w:color w:val="FF8100"/>
          </w:rPr>
          <w:t>Complications,”</w:t>
        </w:r>
      </w:hyperlink>
      <w:r>
        <w:rPr>
          <w:color w:val="FF8100"/>
        </w:rPr>
        <w:t> </w:t>
      </w:r>
      <w:hyperlink r:id="rId29">
        <w:r>
          <w:rPr>
            <w:color w:val="FF8100"/>
          </w:rPr>
          <w:t>Fennemore Client Alert, March 19, 2020</w:t>
        </w:r>
      </w:hyperlink>
    </w:p>
    <w:p>
      <w:pPr>
        <w:pStyle w:val="BodyText"/>
        <w:spacing w:line="292" w:lineRule="auto" w:before="131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142954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232pt;width:1.65pt;height:1.65pt;mso-position-horizontal-relative:page;mso-position-vertical-relative:paragraph;z-index:15752704" id="docshape6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0">
        <w:r>
          <w:rPr>
            <w:color w:val="FF8100"/>
          </w:rPr>
          <w:t>Co-author, “The SECURE Act: What Plan Sponsors Need to Know” Fennemore Client </w:t>
        </w:r>
        <w:r>
          <w:rPr>
            <w:color w:val="FF8100"/>
          </w:rPr>
          <w:t>Alert,</w:t>
        </w:r>
      </w:hyperlink>
      <w:r>
        <w:rPr>
          <w:color w:val="FF8100"/>
        </w:rPr>
        <w:t> </w:t>
      </w:r>
      <w:hyperlink r:id="rId30">
        <w:r>
          <w:rPr>
            <w:color w:val="FF8100"/>
          </w:rPr>
          <w:t>F</w:t>
        </w:r>
      </w:hyperlink>
      <w:hyperlink r:id="rId31">
        <w:r>
          <w:rPr>
            <w:color w:val="FF8100"/>
          </w:rPr>
          <w:t>ebruary 7, 2020</w:t>
        </w:r>
      </w:hyperlink>
    </w:p>
    <w:p>
      <w:pPr>
        <w:pStyle w:val="BodyText"/>
        <w:spacing w:line="297" w:lineRule="auto" w:before="124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138051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206pt;width:1.65pt;height:1.65pt;mso-position-horizontal-relative:page;mso-position-vertical-relative:paragraph;z-index:15753216" id="docshape6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“Misclassification of Workers: How It Can Affect Your Benefit Plans” and “Arizona’s New Mini COBRA Law: What Small Employers Must Do to Comply,” Fennemore Fall Seminar, November 2018</w:t>
      </w:r>
    </w:p>
    <w:p>
      <w:pPr>
        <w:pStyle w:val="BodyText"/>
        <w:spacing w:line="292" w:lineRule="auto" w:before="11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134272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72616pt;width:1.65pt;height:1.65pt;mso-position-horizontal-relative:page;mso-position-vertical-relative:paragraph;z-index:15753728" id="docshape62" coordorigin="1675,211" coordsize="33,33" path="m1696,244l1687,244,1683,242,1676,236,1675,232,1675,223,1676,219,1683,213,1687,211,1696,211,1699,213,1706,219,1707,223,1707,228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2">
        <w:r>
          <w:rPr>
            <w:color w:val="FF8100"/>
          </w:rPr>
          <w:t>Co-author, “Attention Arizona Small Employers: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Don’t Let Arizona’s New Mini COBRA Law </w:t>
        </w:r>
        <w:r>
          <w:rPr>
            <w:color w:val="FF8100"/>
          </w:rPr>
          <w:t>Bite</w:t>
        </w:r>
      </w:hyperlink>
      <w:r>
        <w:rPr>
          <w:color w:val="FF8100"/>
          <w:spacing w:val="40"/>
        </w:rPr>
        <w:t> </w:t>
      </w:r>
      <w:hyperlink r:id="rId32">
        <w:r>
          <w:rPr>
            <w:color w:val="FF8100"/>
          </w:rPr>
          <w:t>You!” Fennemore Client Alert, November 2018</w:t>
        </w:r>
      </w:hyperlink>
    </w:p>
    <w:p>
      <w:pPr>
        <w:pStyle w:val="BodyText"/>
        <w:spacing w:line="30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137624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6589pt;width:1.65pt;height:1.65pt;mso-position-horizontal-relative:page;mso-position-vertical-relative:paragraph;z-index:15754240" id="docshape63" coordorigin="1675,217" coordsize="33,33" path="m1696,249l1687,249,1683,248,1676,241,1675,237,1675,229,1676,225,1683,218,1687,217,1696,217,1699,218,1706,225,1707,229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3">
        <w:r>
          <w:rPr>
            <w:color w:val="FF8100"/>
          </w:rPr>
          <w:t>Co-author, “DOL’s Fiduciary Rule Vacated by the Fifth Circuit: The Latest Twist in a Never-</w:t>
        </w:r>
      </w:hyperlink>
      <w:r>
        <w:rPr>
          <w:color w:val="FF8100"/>
        </w:rPr>
        <w:t> </w:t>
      </w:r>
      <w:hyperlink r:id="rId33">
        <w:r>
          <w:rPr>
            <w:color w:val="FF8100"/>
          </w:rPr>
          <w:t>Ending Story,” Fennemore Client Alert, March 2018</w:t>
        </w:r>
      </w:hyperlink>
    </w:p>
    <w:p>
      <w:pPr>
        <w:pStyle w:val="BodyText"/>
        <w:spacing w:line="292" w:lineRule="auto" w:before="11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131135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5621pt;width:1.65pt;height:1.65pt;mso-position-horizontal-relative:page;mso-position-vertical-relative:paragraph;z-index:15754752" id="docshape64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“Monthly Luncheon: Washington Update 2018,” Western Pension &amp; Benefits </w:t>
      </w:r>
      <w:r>
        <w:rPr>
          <w:color w:val="6E6158"/>
        </w:rPr>
        <w:t>Council Phoenix Chapter, January 11, 2018</w:t>
      </w:r>
    </w:p>
    <w:p>
      <w:pPr>
        <w:pStyle w:val="BodyText"/>
        <w:spacing w:line="297" w:lineRule="auto" w:before="123"/>
        <w:ind w:right="22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137662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9594pt;width:1.65pt;height:1.65pt;mso-position-horizontal-relative:page;mso-position-vertical-relative:paragraph;z-index:15755264" id="docshape65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4">
        <w:r>
          <w:rPr>
            <w:color w:val="FF8100"/>
          </w:rPr>
          <w:t>Co-author, “Death, Taxes, and the Affordable Care Act’s Individual and Employer Mandates:</w:t>
        </w:r>
      </w:hyperlink>
      <w:r>
        <w:rPr>
          <w:color w:val="FF8100"/>
        </w:rPr>
        <w:t> </w:t>
      </w:r>
      <w:hyperlink r:id="rId34">
        <w:r>
          <w:rPr>
            <w:color w:val="FF8100"/>
          </w:rPr>
          <w:t>Taxpayers and Employers Still Have Important Obligations Under the ACA,” Fennemore Client</w:t>
        </w:r>
      </w:hyperlink>
      <w:r>
        <w:rPr>
          <w:color w:val="FF8100"/>
        </w:rPr>
        <w:t> </w:t>
      </w:r>
      <w:hyperlink r:id="rId34">
        <w:r>
          <w:rPr>
            <w:color w:val="FF8100"/>
          </w:rPr>
          <w:t>Alert, January 2018</w:t>
        </w:r>
      </w:hyperlink>
    </w:p>
    <w:p>
      <w:pPr>
        <w:pStyle w:val="BodyText"/>
        <w:spacing w:line="302" w:lineRule="auto" w:before="118"/>
        <w:ind w:right="39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134518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2005pt;width:1.65pt;height:1.65pt;mso-position-horizontal-relative:page;mso-position-vertical-relative:paragraph;z-index:15755776" id="docshape66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5">
        <w:r>
          <w:rPr>
            <w:color w:val="FF6600"/>
          </w:rPr>
          <w:t>Co-author, “QSEHRA Update: IRS Provides Promised Additional guidance for Qualified </w:t>
        </w:r>
        <w:r>
          <w:rPr>
            <w:color w:val="FF6600"/>
          </w:rPr>
          <w:t>Small</w:t>
        </w:r>
      </w:hyperlink>
      <w:r>
        <w:rPr>
          <w:color w:val="FF6600"/>
        </w:rPr>
        <w:t> </w:t>
      </w:r>
      <w:hyperlink r:id="rId35">
        <w:r>
          <w:rPr>
            <w:color w:val="FF6600"/>
          </w:rPr>
          <w:t>Employer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Health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Reimbursement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Arrangements,”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Fennemore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Client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Alert,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November</w:t>
        </w:r>
        <w:r>
          <w:rPr>
            <w:color w:val="FF6600"/>
            <w:spacing w:val="40"/>
          </w:rPr>
          <w:t> </w:t>
        </w:r>
        <w:r>
          <w:rPr>
            <w:color w:val="FF6600"/>
          </w:rPr>
          <w:t>2017</w:t>
        </w:r>
      </w:hyperlink>
    </w:p>
    <w:p>
      <w:pPr>
        <w:pStyle w:val="BodyText"/>
        <w:spacing w:before="1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131204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037pt;width:1.65pt;height:1.65pt;mso-position-horizontal-relative:page;mso-position-vertical-relative:paragraph;z-index:15756288" id="docshape67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3"/>
        </w:rPr>
        <w:t> </w:t>
      </w:r>
      <w:r>
        <w:rPr>
          <w:color w:val="6E6158"/>
        </w:rPr>
        <w:t>“HSAs:</w:t>
      </w:r>
      <w:r>
        <w:rPr>
          <w:color w:val="6E6158"/>
          <w:spacing w:val="13"/>
        </w:rPr>
        <w:t> </w:t>
      </w:r>
      <w:r>
        <w:rPr>
          <w:color w:val="6E6158"/>
        </w:rPr>
        <w:t>More</w:t>
      </w:r>
      <w:r>
        <w:rPr>
          <w:color w:val="6E6158"/>
          <w:spacing w:val="13"/>
        </w:rPr>
        <w:t> </w:t>
      </w:r>
      <w:r>
        <w:rPr>
          <w:color w:val="6E6158"/>
        </w:rPr>
        <w:t>Than</w:t>
      </w:r>
      <w:r>
        <w:rPr>
          <w:color w:val="6E6158"/>
          <w:spacing w:val="13"/>
        </w:rPr>
        <w:t> </w:t>
      </w:r>
      <w:r>
        <w:rPr>
          <w:color w:val="6E6158"/>
        </w:rPr>
        <w:t>Healthcare,”</w:t>
      </w:r>
      <w:r>
        <w:rPr>
          <w:color w:val="6E6158"/>
          <w:spacing w:val="13"/>
        </w:rPr>
        <w:t> </w:t>
      </w:r>
      <w:r>
        <w:rPr>
          <w:color w:val="6E6158"/>
        </w:rPr>
        <w:t>InBusiness,</w:t>
      </w:r>
      <w:r>
        <w:rPr>
          <w:color w:val="6E6158"/>
          <w:spacing w:val="14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74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169888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081pt;width:1.65pt;height:1.65pt;mso-position-horizontal-relative:page;mso-position-vertical-relative:paragraph;z-index:15756800" id="docshape68" coordorigin="1675,268" coordsize="33,33" path="m1696,300l1687,300,1683,299,1676,292,1675,288,1675,279,1676,275,1683,269,1687,268,1696,268,1699,269,1706,275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“Don’t Look an IRS Gift Horse in the Mouth: Two Valuable Opportunities for 403(b) Plan Sponsors in 2017,” Fennemore Client Alert, August 24, 2017</w:t>
      </w:r>
    </w:p>
    <w:p>
      <w:pPr>
        <w:pStyle w:val="BodyText"/>
        <w:spacing w:line="292" w:lineRule="auto" w:before="131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142848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929pt;width:1.65pt;height:1.65pt;mso-position-horizontal-relative:page;mso-position-vertical-relative:paragraph;z-index:15757312" id="docshape6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“Overview of Fiduciary Duties and Liabilities: Working with Others and </w:t>
      </w:r>
      <w:r>
        <w:rPr>
          <w:color w:val="6E6158"/>
        </w:rPr>
        <w:t>Avoiding Pitfalls,” 2017 Joint Spring Meeting for ABA-GPSOLO, May 19, 2017</w:t>
      </w:r>
    </w:p>
    <w:p>
      <w:pPr>
        <w:pStyle w:val="BodyText"/>
        <w:spacing w:line="297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137946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902pt;width:1.65pt;height:1.65pt;mso-position-horizontal-relative:page;mso-position-vertical-relative:paragraph;z-index:15757824" id="docshape7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27"/>
        </w:rPr>
        <w:t> </w:t>
      </w:r>
      <w:r>
        <w:rPr>
          <w:color w:val="6E6158"/>
        </w:rPr>
        <w:t>“Benefits</w:t>
      </w:r>
      <w:r>
        <w:rPr>
          <w:color w:val="6E6158"/>
          <w:spacing w:val="27"/>
        </w:rPr>
        <w:t> </w:t>
      </w:r>
      <w:r>
        <w:rPr>
          <w:color w:val="6E6158"/>
        </w:rPr>
        <w:t>Update: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Affordable</w:t>
      </w:r>
      <w:r>
        <w:rPr>
          <w:color w:val="6E6158"/>
          <w:spacing w:val="27"/>
        </w:rPr>
        <w:t> </w:t>
      </w:r>
      <w:r>
        <w:rPr>
          <w:color w:val="6E6158"/>
        </w:rPr>
        <w:t>Care</w:t>
      </w:r>
      <w:r>
        <w:rPr>
          <w:color w:val="6E6158"/>
          <w:spacing w:val="27"/>
        </w:rPr>
        <w:t> </w:t>
      </w:r>
      <w:r>
        <w:rPr>
          <w:color w:val="6E6158"/>
        </w:rPr>
        <w:t>Act</w:t>
      </w:r>
      <w:r>
        <w:rPr>
          <w:color w:val="6E6158"/>
          <w:spacing w:val="27"/>
        </w:rPr>
        <w:t> </w:t>
      </w:r>
      <w:r>
        <w:rPr>
          <w:color w:val="6E6158"/>
        </w:rPr>
        <w:t>Survives</w:t>
      </w:r>
      <w:r>
        <w:rPr>
          <w:color w:val="6E6158"/>
          <w:spacing w:val="27"/>
        </w:rPr>
        <w:t> </w:t>
      </w:r>
      <w:r>
        <w:rPr>
          <w:color w:val="6E6158"/>
        </w:rPr>
        <w:t>Again,</w:t>
      </w:r>
      <w:r>
        <w:rPr>
          <w:color w:val="6E6158"/>
          <w:spacing w:val="27"/>
        </w:rPr>
        <w:t> </w:t>
      </w:r>
      <w:r>
        <w:rPr>
          <w:color w:val="6E6158"/>
        </w:rPr>
        <w:t>but</w:t>
      </w:r>
      <w:r>
        <w:rPr>
          <w:color w:val="6E6158"/>
          <w:spacing w:val="27"/>
        </w:rPr>
        <w:t> </w:t>
      </w:r>
      <w:r>
        <w:rPr>
          <w:color w:val="6E6158"/>
        </w:rPr>
        <w:t>What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Next</w:t>
      </w:r>
      <w:r>
        <w:rPr>
          <w:color w:val="6E6158"/>
          <w:spacing w:val="27"/>
        </w:rPr>
        <w:t> </w:t>
      </w:r>
      <w:r>
        <w:rPr>
          <w:color w:val="6E6158"/>
        </w:rPr>
        <w:t>for Health Care Reform (and Other Employee Benefits Issues Affected by the New Administration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in Washington)?” Fennemore Craig Labor &amp; Employment Seminar, May 4, 2017</w:t>
      </w:r>
    </w:p>
    <w:p>
      <w:pPr>
        <w:pStyle w:val="BodyText"/>
        <w:spacing w:before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134801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14312pt;width:1.65pt;height:1.65pt;mso-position-horizontal-relative:page;mso-position-vertical-relative:paragraph;z-index:15758336" id="docshape71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“The</w:t>
      </w:r>
      <w:r>
        <w:rPr>
          <w:color w:val="6E6158"/>
          <w:spacing w:val="11"/>
        </w:rPr>
        <w:t> </w:t>
      </w:r>
      <w:r>
        <w:rPr>
          <w:color w:val="6E6158"/>
        </w:rPr>
        <w:t>Rebirth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Standalone</w:t>
      </w:r>
      <w:r>
        <w:rPr>
          <w:color w:val="6E6158"/>
          <w:spacing w:val="10"/>
        </w:rPr>
        <w:t> </w:t>
      </w:r>
      <w:r>
        <w:rPr>
          <w:color w:val="6E6158"/>
        </w:rPr>
        <w:t>HRAs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Employers</w:t>
      </w:r>
      <w:r>
        <w:rPr>
          <w:color w:val="6E6158"/>
          <w:spacing w:val="11"/>
        </w:rPr>
        <w:t> </w:t>
      </w:r>
      <w:r>
        <w:rPr>
          <w:color w:val="6E6158"/>
        </w:rPr>
        <w:t>After</w:t>
      </w:r>
      <w:r>
        <w:rPr>
          <w:color w:val="6E6158"/>
          <w:spacing w:val="10"/>
        </w:rPr>
        <w:t> </w:t>
      </w:r>
      <w:r>
        <w:rPr>
          <w:color w:val="6E6158"/>
        </w:rPr>
        <w:t>ACA,”</w:t>
      </w:r>
      <w:r>
        <w:rPr>
          <w:color w:val="6E6158"/>
          <w:spacing w:val="11"/>
        </w:rPr>
        <w:t> </w:t>
      </w:r>
      <w:r>
        <w:rPr>
          <w:color w:val="6E6158"/>
        </w:rPr>
        <w:t>GLSA,</w:t>
      </w:r>
      <w:r>
        <w:rPr>
          <w:color w:val="6E6158"/>
          <w:spacing w:val="11"/>
        </w:rPr>
        <w:t> </w:t>
      </w:r>
      <w:r>
        <w:rPr>
          <w:color w:val="6E6158"/>
        </w:rPr>
        <w:t>April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4pt;width:1.65pt;height:1.65pt;mso-position-horizontal-relative:page;mso-position-vertical-relative:paragraph;z-index:15758848" id="docshape7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“Filing Your 2016 Tax Return? The ACA’s Individual Mandate and Penalties Still Apply,” Fennemore Client Alert, March 7, 2017</w:t>
      </w:r>
    </w:p>
    <w:p>
      <w:pPr>
        <w:pStyle w:val="BodyText"/>
        <w:spacing w:line="292" w:lineRule="auto" w:before="132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2pt;width:1.65pt;height:1.65pt;mso-position-horizontal-relative:page;mso-position-vertical-relative:paragraph;z-index:15759360" id="docshape7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“Affordable Care Act – 2016 and Beyond!” Worldwide Employee Benefits Network, May 2016</w:t>
      </w:r>
    </w:p>
    <w:p>
      <w:pPr>
        <w:pStyle w:val="BodyText"/>
        <w:spacing w:line="292" w:lineRule="auto" w:before="123"/>
        <w:ind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137643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036pt;width:1.65pt;height:1.65pt;mso-position-horizontal-relative:page;mso-position-vertical-relative:paragraph;z-index:15759872" id="docshape7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Professional Needs to Know About Health &amp; Welfare Plans,” Western Pension &amp; Benefits Council Spring Conference, April 2016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17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152420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617pt;width:1.65pt;height:1.65pt;mso-position-horizontal-relative:page;mso-position-vertical-relative:paragraph;z-index:15760384" id="docshape7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410786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6"/>
                              </a:lnTo>
                              <a:lnTo>
                                <a:pt x="1009" y="5038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38"/>
                              </a:lnTo>
                              <a:lnTo>
                                <a:pt x="20669" y="7476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5367pt;width:1.65pt;height:1.65pt;mso-position-horizontal-relative:page;mso-position-vertical-relative:paragraph;z-index:15760896" id="docshape76" coordorigin="1675,647" coordsize="33,33" path="m1696,679l1687,679,1683,678,1676,672,1675,668,1675,659,1676,655,1683,648,1687,647,1696,647,1699,648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Directors, Greater Phoenix Chamber of Commerce Member, IRS Pacific Coast TE/GE Council</w:t>
      </w:r>
    </w:p>
    <w:p>
      <w:pPr>
        <w:pStyle w:val="BodyText"/>
        <w:spacing w:line="420" w:lineRule="auto"/>
        <w:ind w:right="54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58701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2148pt;width:1.65pt;height:1.65pt;mso-position-horizontal-relative:page;mso-position-vertical-relative:paragraph;z-index:15761408" id="docshape77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317066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5897pt;width:1.65pt;height:1.65pt;mso-position-horizontal-relative:page;mso-position-vertical-relative:paragraph;z-index:15761920" id="docshape78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Nevada Member, Arizona Bar </w:t>
      </w:r>
      <w:r>
        <w:rPr>
          <w:color w:val="6E6158"/>
        </w:rPr>
        <w:t>Association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62859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9554pt;width:1.65pt;height:1.65pt;mso-position-horizontal-relative:page;mso-position-vertical-relative:paragraph;z-index:15762432" id="docshape79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Maricopa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170124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597pt;width:1.65pt;height:1.65pt;mso-position-horizontal-relative:page;mso-position-vertical-relative:paragraph;z-index:15762944" id="docshape80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1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Museum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1"/>
        </w:rPr>
        <w:t> </w:t>
      </w:r>
      <w:r>
        <w:rPr>
          <w:color w:val="6E6158"/>
        </w:rPr>
        <w:t>History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7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152712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61pt;width:1.65pt;height:1.65pt;mso-position-horizontal-relative:page;mso-position-vertical-relative:paragraph;z-index:15763456" id="docshape8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416245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234pt;width:1.65pt;height:1.65pt;mso-position-horizontal-relative:page;mso-position-vertical-relative:paragraph;z-index:15763968" id="docshape82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54650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3153pt;width:1.65pt;height:1.65pt;mso-position-horizontal-relative:page;mso-position-vertical-relative:paragraph;z-index:15764480" id="docshape83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169807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667pt;width:1.65pt;height:1.65pt;mso-position-horizontal-relative:page;mso-position-vertical-relative:paragraph;z-index:15764992" id="docshape8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169757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711pt;width:1.65pt;height:1.65pt;mso-position-horizontal-relative:page;mso-position-vertical-relative:paragraph;z-index:15765504" id="docshape8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risa-and-employee-benefit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rcurtis@fennemorelaw.com" TargetMode="External"/><Relationship Id="rId11" Type="http://schemas.openxmlformats.org/officeDocument/2006/relationships/hyperlink" Target="https://www.fennemorelaw.com/buying-or-selling-a-business-dont-forget-to-look-out-for-these-employee-benefits-issues/" TargetMode="External"/><Relationship Id="rId12" Type="http://schemas.openxmlformats.org/officeDocument/2006/relationships/hyperlink" Target="https://mailchi.mp/fennemorelaw/roth-catch-up-contributions-15828694?e=521c02bb5c" TargetMode="External"/><Relationship Id="rId13" Type="http://schemas.openxmlformats.org/officeDocument/2006/relationships/hyperlink" Target="https://mailchi.mp/fennemorelaw/roth-catch-up-contributions" TargetMode="External"/><Relationship Id="rId14" Type="http://schemas.openxmlformats.org/officeDocument/2006/relationships/hyperlink" Target="https://mailchi.mp/fennemorelaw/erisa-gag-clause?e=%5bUNIQID" TargetMode="External"/><Relationship Id="rId15" Type="http://schemas.openxmlformats.org/officeDocument/2006/relationships/hyperlink" Target="https://www.azattorneymag-digital.com/azattorneymag/library/item/202304/4090520/" TargetMode="External"/><Relationship Id="rId16" Type="http://schemas.openxmlformats.org/officeDocument/2006/relationships/hyperlink" Target="https://www.pbs.org/video/01-24-2023-jeff-flake-phoenix-police-chief-secure-act-20-4zi3ty/" TargetMode="External"/><Relationship Id="rId17" Type="http://schemas.openxmlformats.org/officeDocument/2006/relationships/hyperlink" Target="https://inbusinessphx.com/healthcare-wellness/the-new-mandatory-cobra-subsidy-what-employers-need-to-know#.YIsfu7VKgUH" TargetMode="External"/><Relationship Id="rId18" Type="http://schemas.openxmlformats.org/officeDocument/2006/relationships/hyperlink" Target="https://www.fennemorelaw.com/insights/newsletters/2021/employers-required-to-temporarily-subsidize-cobra-premiums-subject-to-reimbursement" TargetMode="External"/><Relationship Id="rId19" Type="http://schemas.openxmlformats.org/officeDocument/2006/relationships/hyperlink" Target="https://www.mondaq.com/Article/1023586" TargetMode="External"/><Relationship Id="rId20" Type="http://schemas.openxmlformats.org/officeDocument/2006/relationships/hyperlink" Target="https://www.fennemorelaw.com/insights/newsletters/2021/new-covid-19-legislation-provides-partial-plan-termination-relief" TargetMode="External"/><Relationship Id="rId21" Type="http://schemas.openxmlformats.org/officeDocument/2006/relationships/hyperlink" Target="https://www.fennemorelaw.com/insights/newsletters/2020/irs-issues-initial-guidance-on-the-secure-act" TargetMode="External"/><Relationship Id="rId22" Type="http://schemas.openxmlformats.org/officeDocument/2006/relationships/hyperlink" Target="https://www.fennemorelaw.com/insights/newsletters/2020/department-of-labor-announces-new-safe-harbor-for-electronic-communications-to-participants-of-qualified-retirement-plans" TargetMode="External"/><Relationship Id="rId23" Type="http://schemas.openxmlformats.org/officeDocument/2006/relationships/hyperlink" Target="https://www.fennemorelaw.com/insights/newsletters/2020/the-cares-act-implications-for-health-and-welfare-benefits" TargetMode="External"/><Relationship Id="rId24" Type="http://schemas.openxmlformats.org/officeDocument/2006/relationships/hyperlink" Target="http://inbusinessphx.com/in-business/the-secure-act#.XpCN9chKiUk" TargetMode="External"/><Relationship Id="rId25" Type="http://schemas.openxmlformats.org/officeDocument/2006/relationships/hyperlink" Target="https://www.fennemorelaw.com/insights/newsletters/2020/the-cares-act-implications-for-qualified-retirement-plans" TargetMode="External"/><Relationship Id="rId26" Type="http://schemas.openxmlformats.org/officeDocument/2006/relationships/hyperlink" Target="https://www.fennemorelaw.com/insights/newsletters/2020/covid-19-health-plan-coverage-for-furloughed-employees" TargetMode="External"/><Relationship Id="rId27" Type="http://schemas.openxmlformats.org/officeDocument/2006/relationships/hyperlink" Target="https://www.fennemorelaw.com/insights/newsletters/2020/understanding-the-emergency-family-medical-leave-expansion-act-and-emergency-paid-sick-leave-in-the-families-first-coronavirus-response-act" TargetMode="External"/><Relationship Id="rId28" Type="http://schemas.openxmlformats.org/officeDocument/2006/relationships/hyperlink" Target="https://www.fennemorelaw.com/insights/newsletters/2020/hipaa-implications-of-covid-19" TargetMode="External"/><Relationship Id="rId29" Type="http://schemas.openxmlformats.org/officeDocument/2006/relationships/hyperlink" Target="https://www.fennemorelaw.com/insights/newsletters/2020/covid-19-testing-and-treatment-copays-deductibles-and-hsa-implications" TargetMode="External"/><Relationship Id="rId30" Type="http://schemas.openxmlformats.org/officeDocument/2006/relationships/hyperlink" Target="https://www.fennemorelaw.com/insights/newsletters/2020/the-secure-act-what-plan-sponsors-need-to-know" TargetMode="External"/><Relationship Id="rId31" Type="http://schemas.openxmlformats.org/officeDocument/2006/relationships/hyperlink" Target="https://clientalert.fennemorecraig.com/secure_plan_sponsors" TargetMode="External"/><Relationship Id="rId32" Type="http://schemas.openxmlformats.org/officeDocument/2006/relationships/hyperlink" Target="https://www.fennemorelaw.com/insights/newsletters/2018/attention-arizona-small-employers-don-t-let-arizona-s-new-mini-cobra-law-bite-you-" TargetMode="External"/><Relationship Id="rId33" Type="http://schemas.openxmlformats.org/officeDocument/2006/relationships/hyperlink" Target="https://www.fennemorelaw.com/insights/newsletters/2018/dol-s-fiduciary-rule-vacated-by-the-fifth-circuit-the-latest-twist-in-a-never-ending-story" TargetMode="External"/><Relationship Id="rId34" Type="http://schemas.openxmlformats.org/officeDocument/2006/relationships/hyperlink" Target="https://www.fennemorelaw.com/insights/newsletters/2018/death-taxes-and-the-affordable-care-act-s-individual-and-employer-mandates-taxpayers-and-employers-still-have-important-obligations-under-the-aca" TargetMode="External"/><Relationship Id="rId35" Type="http://schemas.openxmlformats.org/officeDocument/2006/relationships/hyperlink" Target="https://www.fennemorelaw.com/insights/newsletters/2017/qsehra-update-irs-provides-promised-additional-guidance-for-qualified-small-employer-health-reimbursement-arrangement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2025-01-02T06:46:33Z</dcterms:created>
  <dcterms:modified xsi:type="dcterms:W3CDTF">2025-01-02T06:46:33Z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