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59" w:right="65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SHARON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HUERTA</w:t>
                              </w:r>
                            </w:p>
                            <w:p>
                              <w:pPr>
                                <w:spacing w:before="48"/>
                                <w:ind w:left="659" w:right="65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59" w:right="6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Insurance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Coverage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59" w:right="6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59" w:right="65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shuerta@fennemorelaw.com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59" w:right="65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SHARON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HUERTA</w:t>
                        </w:r>
                      </w:p>
                      <w:p>
                        <w:pPr>
                          <w:spacing w:before="48"/>
                          <w:ind w:left="659" w:right="65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59" w:right="65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Insurance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Coverage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59" w:right="659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59" w:right="659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shuerta@fennemorelaw.com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SHARON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HUERTA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Sharon A. Huerta, a member of the Insurance and Construction practice groups, excels in</w:t>
      </w:r>
      <w:r>
        <w:rPr>
          <w:color w:val="6E6158"/>
          <w:spacing w:val="40"/>
        </w:rPr>
        <w:t> </w:t>
      </w:r>
      <w:r>
        <w:rPr>
          <w:color w:val="6E6158"/>
        </w:rPr>
        <w:t>comprehensive insurance coverage analysis and effective dispute resolution. Her </w:t>
      </w:r>
      <w:r>
        <w:rPr>
          <w:color w:val="6E6158"/>
        </w:rPr>
        <w:t>practice</w:t>
      </w:r>
      <w:r>
        <w:rPr>
          <w:color w:val="6E6158"/>
          <w:spacing w:val="40"/>
        </w:rPr>
        <w:t> </w:t>
      </w:r>
      <w:r>
        <w:rPr>
          <w:color w:val="6E6158"/>
        </w:rPr>
        <w:t>encompasses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aspects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litigation,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focus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insurance</w:t>
      </w:r>
      <w:r>
        <w:rPr>
          <w:color w:val="6E6158"/>
          <w:spacing w:val="31"/>
        </w:rPr>
        <w:t> </w:t>
      </w:r>
      <w:r>
        <w:rPr>
          <w:color w:val="6E6158"/>
        </w:rPr>
        <w:t>coverage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29" w:lineRule="exact" w:before="0"/>
        <w:ind w:left="104" w:right="0"/>
      </w:pPr>
      <w:r>
        <w:rPr>
          <w:color w:val="6E6158"/>
        </w:rPr>
        <w:t>evaluation,</w:t>
      </w:r>
      <w:r>
        <w:rPr>
          <w:color w:val="6E6158"/>
          <w:spacing w:val="13"/>
        </w:rPr>
        <w:t> </w:t>
      </w:r>
      <w:r>
        <w:rPr>
          <w:color w:val="6E6158"/>
        </w:rPr>
        <w:t>prosecution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bad</w:t>
      </w:r>
      <w:r>
        <w:rPr>
          <w:color w:val="6E6158"/>
          <w:spacing w:val="14"/>
        </w:rPr>
        <w:t> </w:t>
      </w:r>
      <w:r>
        <w:rPr>
          <w:color w:val="6E6158"/>
        </w:rPr>
        <w:t>faith</w:t>
      </w:r>
      <w:r>
        <w:rPr>
          <w:color w:val="6E6158"/>
          <w:spacing w:val="13"/>
        </w:rPr>
        <w:t> </w:t>
      </w:r>
      <w:r>
        <w:rPr>
          <w:color w:val="6E6158"/>
        </w:rPr>
        <w:t>claims,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developer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representation.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5" w:lineRule="auto" w:before="0"/>
        <w:ind w:left="104"/>
      </w:pPr>
      <w:r>
        <w:rPr>
          <w:color w:val="6E6158"/>
        </w:rPr>
        <w:t>Sharon’s proficiency extends to appellate writing, where she has been instrumental in drafting</w:t>
      </w:r>
      <w:r>
        <w:rPr>
          <w:color w:val="6E6158"/>
          <w:spacing w:val="40"/>
        </w:rPr>
        <w:t> </w:t>
      </w:r>
      <w:r>
        <w:rPr>
          <w:color w:val="6E6158"/>
        </w:rPr>
        <w:t>briefs for several successful published and unpublished opinions, showcasing her in-depth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knowledge and skilled argument. Notable cases include Pardee Construction Co. v. Ins. Co. of</w:t>
      </w:r>
      <w:r>
        <w:rPr>
          <w:color w:val="6E6158"/>
          <w:spacing w:val="40"/>
        </w:rPr>
        <w:t> </w:t>
      </w:r>
      <w:r>
        <w:rPr>
          <w:color w:val="6E6158"/>
        </w:rPr>
        <w:t>the West (2000), Emerald Bay Community Assn. v. Golden Eagle Ins. Corp. (2005), and Pulte</w:t>
      </w:r>
      <w:r>
        <w:rPr>
          <w:color w:val="6E6158"/>
          <w:spacing w:val="40"/>
        </w:rPr>
        <w:t> </w:t>
      </w:r>
      <w:r>
        <w:rPr>
          <w:color w:val="6E6158"/>
        </w:rPr>
        <w:t>Home Corp. v. American Safety Indem. Co. (2017).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Her skillset in insurance law, coupled with her knowledge in navigating complex legal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makes her a valuable asset to clients across a broad variety of business and personal sectors.</w:t>
      </w:r>
      <w:r>
        <w:rPr>
          <w:color w:val="6E6158"/>
          <w:spacing w:val="80"/>
        </w:rPr>
        <w:t> </w:t>
      </w:r>
      <w:r>
        <w:rPr>
          <w:color w:val="6E6158"/>
        </w:rPr>
        <w:t>Her role in shaping influential legal decisions further underscores her capabilities as a leading</w:t>
      </w:r>
      <w:r>
        <w:rPr>
          <w:color w:val="6E6158"/>
          <w:spacing w:val="40"/>
        </w:rPr>
        <w:t> </w:t>
      </w:r>
      <w:r>
        <w:rPr>
          <w:color w:val="6E6158"/>
        </w:rPr>
        <w:t>attorney in insurance and construction litigation.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152672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47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Thomas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Jefferson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 laude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1996</w:t>
      </w:r>
    </w:p>
    <w:p>
      <w:pPr>
        <w:pStyle w:val="BodyText"/>
        <w:spacing w:before="38"/>
        <w:ind w:left="0" w:righ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0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152875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445pt;width:1.65pt;height:1.65pt;mso-position-horizontal-relative:page;mso-position-vertical-relative:paragraph;z-index:15729664" id="docshape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411241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1195pt;width:1.65pt;height:1.65pt;mso-position-horizontal-relative:page;mso-position-vertical-relative:paragraph;z-index:15730176" id="docshape9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674774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1817pt;width:1.65pt;height:1.65pt;mso-position-horizontal-relative:page;mso-position-vertical-relative:paragraph;z-index:15730688" id="docshape10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933139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5571pt;width:1.65pt;height:1.65pt;mso-position-horizontal-relative:page;mso-position-vertical-relative:paragraph;z-index:15731200" id="docshape11" coordorigin="1675,1470" coordsize="33,33" path="m1696,1502l1687,1502,1683,1500,1676,1494,1675,1490,1675,1481,1676,1477,1683,1471,1687,1470,1696,1470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1191505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3.819321pt;width:1.65pt;height:1.65pt;mso-position-horizontal-relative:page;mso-position-vertical-relative:paragraph;z-index:15731712" id="docshape12" coordorigin="1675,1876" coordsize="33,33" path="m1696,1909l1687,1909,1683,1907,1676,1901,1675,1897,1675,1888,1676,1884,1683,1878,1687,1876,1696,1876,1699,1878,1706,1884,1707,1888,1707,1893,1707,1897,1706,1901,1699,1907,1696,19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</w:t>
      </w:r>
      <w:r>
        <w:rPr>
          <w:color w:val="6E6158"/>
        </w:rPr>
        <w:t>Coverage Construction Law Business Litigation Professional Liability </w:t>
      </w:r>
      <w:r>
        <w:rPr>
          <w:color w:val="6E6158"/>
          <w:spacing w:val="-2"/>
        </w:rPr>
        <w:t>Agribusiness</w:t>
      </w: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152603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995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Pardee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Construction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v.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Ins.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Co.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of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the</w:t>
        </w:r>
        <w:r>
          <w:rPr>
            <w:i/>
            <w:color w:val="F5821F"/>
            <w:spacing w:val="-9"/>
            <w:sz w:val="20"/>
          </w:rPr>
          <w:t> </w:t>
        </w:r>
        <w:r>
          <w:rPr>
            <w:i/>
            <w:color w:val="F5821F"/>
            <w:sz w:val="20"/>
          </w:rPr>
          <w:t>West</w:t>
        </w:r>
      </w:hyperlink>
      <w:r>
        <w:rPr>
          <w:i/>
          <w:color w:val="F5821F"/>
          <w:spacing w:val="-10"/>
          <w:sz w:val="20"/>
        </w:rPr>
        <w:t> </w:t>
      </w:r>
      <w:hyperlink r:id="rId11">
        <w:r>
          <w:rPr>
            <w:color w:val="F5821F"/>
            <w:sz w:val="19"/>
          </w:rPr>
          <w:t>(2000)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z w:val="19"/>
          </w:rPr>
          <w:t>77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z w:val="19"/>
          </w:rPr>
          <w:t>Cal.App.4th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pacing w:val="-2"/>
            <w:sz w:val="19"/>
          </w:rPr>
          <w:t>1340.</w:t>
        </w:r>
      </w:hyperlink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i/>
            <w:color w:val="F5821F"/>
            <w:sz w:val="20"/>
          </w:rPr>
          <w:t>Emerald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Bay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Community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v.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Golden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Eagle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Ins.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Corp.</w:t>
        </w:r>
      </w:hyperlink>
      <w:r>
        <w:rPr>
          <w:i/>
          <w:color w:val="F5821F"/>
          <w:spacing w:val="-10"/>
          <w:sz w:val="20"/>
        </w:rPr>
        <w:t> </w:t>
      </w:r>
      <w:hyperlink r:id="rId12">
        <w:r>
          <w:rPr>
            <w:color w:val="F5821F"/>
            <w:sz w:val="19"/>
          </w:rPr>
          <w:t>(2005)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z w:val="19"/>
          </w:rPr>
          <w:t>130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z w:val="19"/>
          </w:rPr>
          <w:t>Cal.App.4th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pacing w:val="-2"/>
            <w:sz w:val="19"/>
          </w:rPr>
          <w:t>1078.</w:t>
        </w:r>
      </w:hyperlink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3248" id="docshape15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i/>
            <w:color w:val="F5821F"/>
            <w:sz w:val="20"/>
          </w:rPr>
          <w:t>Pulte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Home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Corp.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v.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American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Safety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lndem.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Co.</w:t>
        </w:r>
      </w:hyperlink>
      <w:r>
        <w:rPr>
          <w:i/>
          <w:color w:val="F5821F"/>
          <w:spacing w:val="-10"/>
          <w:sz w:val="20"/>
        </w:rPr>
        <w:t> </w:t>
      </w:r>
      <w:hyperlink r:id="rId13">
        <w:r>
          <w:rPr>
            <w:color w:val="F5821F"/>
            <w:sz w:val="19"/>
          </w:rPr>
          <w:t>(2017)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z w:val="19"/>
          </w:rPr>
          <w:t>14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z w:val="19"/>
          </w:rPr>
          <w:t>Cal.App.5th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pacing w:val="-2"/>
            <w:sz w:val="19"/>
          </w:rPr>
          <w:t>1086.</w:t>
        </w:r>
      </w:hyperlink>
    </w:p>
    <w:p>
      <w:pPr>
        <w:pStyle w:val="Heading1"/>
        <w:spacing w:before="21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152638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757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America®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0"/>
        <w:ind w:left="0" w:righ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152371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768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Panelist, “Completed Operations: Protecting Your Tail [Coverage],” West Coast Casualty, 2024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143111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617pt;width:1.65pt;height:1.65pt;mso-position-horizontal-relative:page;mso-position-vertical-relative:paragraph;z-index:15734784" id="docshape1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Kathleen Cashman-Kramer, Sharon Huerta and Shannon Sweeney Selected as </w:t>
      </w:r>
      <w:r>
        <w:rPr>
          <w:color w:val="6E6158"/>
        </w:rPr>
        <w:t>“Business Women of the Year” Finalists by San Diego Business Journal, Firm Newsletter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137573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59pt;width:1.65pt;height:1.65pt;mso-position-horizontal-relative:page;mso-position-vertical-relative:paragraph;z-index:15735296" id="docshape19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Yaniv Newman Co-Presents and Sharon Huerta Moderates Upcoming SDCBA Cyber-</w:t>
      </w:r>
      <w:r>
        <w:rPr>
          <w:color w:val="6E6158"/>
        </w:rPr>
        <w:t>Risk Program, Firm Newsletter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142918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438pt;width:1.65pt;height:1.65pt;mso-position-horizontal-relative:page;mso-position-vertical-relative:paragraph;z-index:15735808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Selected For Best Lawyers in America® and Best Lawyers: Ones To Watch® in America, Firm Newsletter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138016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412pt;width:1.65pt;height:1.65pt;mso-position-horizontal-relative:page;mso-position-vertical-relative:paragraph;z-index:15736320" id="docshape2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Attend 2023 West Coast Casualty Construction Defect Seminar,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142725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26pt;width:1.65pt;height:1.65pt;mso-position-horizontal-relative:page;mso-position-vertical-relative:paragraph;z-index:15736832" id="docshape2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be Panelist in SDCBA Program, “Insurance Law: 2022 Year in Review”,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137823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233pt;width:1.65pt;height:1.65pt;mso-position-horizontal-relative:page;mso-position-vertical-relative:paragraph;z-index:15737344" id="docshape2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Appointed to Chair of the Insurance Law Committee of the CLA Business Law</w:t>
      </w:r>
      <w:r>
        <w:rPr>
          <w:color w:val="6E6158"/>
          <w:spacing w:val="40"/>
        </w:rPr>
        <w:t> </w:t>
      </w:r>
      <w:r>
        <w:rPr>
          <w:color w:val="6E6158"/>
        </w:rPr>
        <w:t>Section, Firm Newsletter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143168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082pt;width:1.65pt;height:1.65pt;mso-position-horizontal-relative:page;mso-position-vertical-relative:paragraph;z-index:15737856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</w:t>
      </w:r>
      <w:r>
        <w:rPr>
          <w:color w:val="6E6158"/>
          <w:spacing w:val="10"/>
        </w:rPr>
        <w:t> </w:t>
      </w:r>
      <w:r>
        <w:rPr>
          <w:color w:val="6E6158"/>
        </w:rPr>
        <w:t>Huerta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Present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CLA</w:t>
      </w:r>
      <w:r>
        <w:rPr>
          <w:color w:val="6E6158"/>
          <w:spacing w:val="10"/>
        </w:rPr>
        <w:t> </w:t>
      </w:r>
      <w:r>
        <w:rPr>
          <w:color w:val="6E6158"/>
        </w:rPr>
        <w:t>2022</w:t>
      </w:r>
      <w:r>
        <w:rPr>
          <w:color w:val="6E6158"/>
          <w:spacing w:val="11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Meeting,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169787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125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Attend 2022 West Coast Casualty Construction Defect Seminar,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142747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974pt;width:1.65pt;height:1.65pt;mso-position-horizontal-relative:page;mso-position-vertical-relative:paragraph;z-index:15738880" id="docshape2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Attend 2022 West Coast Casualty Construction Defect Seminar,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137845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948pt;width:1.65pt;height:1.65pt;mso-position-horizontal-relative:page;mso-position-vertical-relative:paragraph;z-index:15739392" id="docshape2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be a Panelist for SDCBA’s “Insurance Law- 2021 Year in Review” CLE Program, Firm Newsletter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143189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796pt;width:1.65pt;height:1.65pt;mso-position-horizontal-relative:page;mso-position-vertical-relative:paragraph;z-index:15739904" id="docshape2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be a Panelist for SDCBA’s “Insurance Law- 2021 Year in Review” CLE Program, Firm Newsletter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137652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769pt;width:1.65pt;height:1.65pt;mso-position-horizontal-relative:page;mso-position-vertical-relative:paragraph;z-index:15740416" id="docshape2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Selected For Best Lawyers in America© and Best Lawyers: Ones To Watch, Firm Newsletter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142997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617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Four Sullivan Hill Attorneys Recognized as “Women of Influence: 50 Over 50 2021” by the San</w:t>
      </w:r>
      <w:r>
        <w:rPr>
          <w:color w:val="6E6158"/>
          <w:spacing w:val="40"/>
        </w:rPr>
        <w:t> </w:t>
      </w:r>
      <w:r>
        <w:rPr>
          <w:color w:val="6E6158"/>
        </w:rPr>
        <w:t>Diego Business Journal, Firm Newsletter</w:t>
      </w:r>
    </w:p>
    <w:p>
      <w:pPr>
        <w:pStyle w:val="BodyText"/>
        <w:spacing w:line="292" w:lineRule="auto" w:before="124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138094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59pt;width:1.65pt;height:1.65pt;mso-position-horizontal-relative:page;mso-position-vertical-relative:paragraph;z-index:15741440" id="docshape3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Present at CLA’s 2021 Business Law Section Insurance Law Symposium, Firm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142804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438pt;width:1.65pt;height:1.65pt;mso-position-horizontal-relative:page;mso-position-vertical-relative:paragraph;z-index:15741952" id="docshape3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</w:t>
      </w:r>
      <w:r>
        <w:rPr>
          <w:color w:val="6E6158"/>
          <w:spacing w:val="10"/>
        </w:rPr>
        <w:t> </w:t>
      </w:r>
      <w:r>
        <w:rPr>
          <w:color w:val="6E6158"/>
        </w:rPr>
        <w:t>Huerta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Introduce</w:t>
      </w:r>
      <w:r>
        <w:rPr>
          <w:color w:val="6E6158"/>
          <w:spacing w:val="10"/>
        </w:rPr>
        <w:t> </w:t>
      </w:r>
      <w:r>
        <w:rPr>
          <w:color w:val="6E6158"/>
        </w:rPr>
        <w:t>SDCBA’s</w:t>
      </w:r>
      <w:r>
        <w:rPr>
          <w:color w:val="6E6158"/>
          <w:spacing w:val="11"/>
        </w:rPr>
        <w:t> </w:t>
      </w:r>
      <w:r>
        <w:rPr>
          <w:color w:val="6E6158"/>
        </w:rPr>
        <w:t>2020</w:t>
      </w:r>
      <w:r>
        <w:rPr>
          <w:color w:val="6E6158"/>
          <w:spacing w:val="10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Update</w:t>
      </w:r>
      <w:r>
        <w:rPr>
          <w:color w:val="6E6158"/>
          <w:spacing w:val="11"/>
        </w:rPr>
        <w:t> </w:t>
      </w:r>
      <w:r>
        <w:rPr>
          <w:color w:val="6E6158"/>
        </w:rPr>
        <w:t>Live</w:t>
      </w:r>
      <w:r>
        <w:rPr>
          <w:color w:val="6E6158"/>
          <w:spacing w:val="10"/>
        </w:rPr>
        <w:t> </w:t>
      </w:r>
      <w:r>
        <w:rPr>
          <w:color w:val="6E6158"/>
        </w:rPr>
        <w:t>Webinar,</w:t>
      </w:r>
      <w:r>
        <w:rPr>
          <w:color w:val="6E6158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170059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483pt;width:1.65pt;height:1.65pt;mso-position-horizontal-relative:page;mso-position-vertical-relative:paragraph;z-index:15742464" id="docshape3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to Be a Panelist for SDCBA’s Live Webinar on Covid-related Business Interruption Insurance Claims, Firm Newsletter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137851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456pt;width:1.65pt;height:1.65pt;mso-position-horizontal-relative:page;mso-position-vertical-relative:paragraph;z-index:15742976" id="docshape3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to Serve Consecutive Terms on the Boards of the Insurance Law</w:t>
      </w:r>
      <w:r>
        <w:rPr>
          <w:color w:val="6E6158"/>
          <w:spacing w:val="40"/>
        </w:rPr>
        <w:t> </w:t>
      </w:r>
      <w:r>
        <w:rPr>
          <w:color w:val="6E6158"/>
        </w:rPr>
        <w:t>Groups for Both SDCBA and CLA, Firm Newsletter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3488" id="docshape3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to be a Panelist at the 2020 Virtual Annual Meeting of the CLA,</w:t>
      </w:r>
      <w:r>
        <w:rPr>
          <w:color w:val="6E6158"/>
          <w:spacing w:val="40"/>
        </w:rPr>
        <w:t> </w:t>
      </w:r>
      <w:r>
        <w:rPr>
          <w:color w:val="6E6158"/>
        </w:rPr>
        <w:t>Firm Newsletter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4000" id="docshape3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and Attorney Rebecca O’Grady Published by the </w:t>
      </w:r>
      <w:r>
        <w:rPr>
          <w:color w:val="6E6158"/>
        </w:rPr>
        <w:t>Insurance/Bad</w:t>
      </w:r>
      <w:r>
        <w:rPr>
          <w:color w:val="6E6158"/>
          <w:spacing w:val="40"/>
        </w:rPr>
        <w:t> </w:t>
      </w:r>
      <w:r>
        <w:rPr>
          <w:color w:val="6E6158"/>
        </w:rPr>
        <w:t>Faith Section of the SDCBA, Firm Newsletter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10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643pt;width:1.65pt;height:1.65pt;mso-position-horizontal-relative:page;mso-position-vertical-relative:paragraph;z-index:15744512" id="docshape3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411154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4393pt;width:1.65pt;height:1.65pt;mso-position-horizontal-relative:page;mso-position-vertical-relative:paragraph;z-index:15745024" id="docshape3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674687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5019pt;width:1.65pt;height:1.65pt;mso-position-horizontal-relative:page;mso-position-vertical-relative:paragraph;z-index:15745536" id="docshape39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Insurance Law Committee, Business Law Section, California Lawyers </w:t>
      </w:r>
      <w:r>
        <w:rPr>
          <w:color w:val="6E6158"/>
        </w:rPr>
        <w:t>Association Vice Chair, Insurance &amp; Bad Faith Law Section, San Diego County Bar Association Member, Claims and Litigation Management Alliance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42pt;width:1.65pt;height:1.65pt;mso-position-horizontal-relative:page;mso-position-vertical-relative:paragraph;z-index:15746048" id="docshape4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California,</w:t>
      </w:r>
      <w:r>
        <w:rPr>
          <w:color w:val="6E6158"/>
          <w:spacing w:val="23"/>
        </w:rPr>
        <w:t> </w:t>
      </w:r>
      <w:r>
        <w:rPr>
          <w:color w:val="6E6158"/>
          <w:spacing w:val="-4"/>
        </w:rPr>
        <w:t>1996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758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surance-coverag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huerta@fennemorelaw.com" TargetMode="External"/><Relationship Id="rId11" Type="http://schemas.openxmlformats.org/officeDocument/2006/relationships/hyperlink" Target="https://www.fennemorelaw.com/wp-content/uploads/2024/12/Pardee-Const-Co-v-Insurance-Co-of-the-West.pdf" TargetMode="External"/><Relationship Id="rId12" Type="http://schemas.openxmlformats.org/officeDocument/2006/relationships/hyperlink" Target="https://www.fennemorelaw.com/wp-content/uploads/2024/12/Emerald-Bay-Community-Assn-v-Golden-Eagle-Ins-Corp.pdf" TargetMode="External"/><Relationship Id="rId13" Type="http://schemas.openxmlformats.org/officeDocument/2006/relationships/hyperlink" Target="https://www.fennemorelaw.com/wp-content/uploads/2024/12/Pulte-Home-Corp-v-American-Safety-Indemnity-Co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2025-01-07T15:29:14Z</dcterms:created>
  <dcterms:modified xsi:type="dcterms:W3CDTF">2025-01-07T15:29:14Z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