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SPENCER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A.W. STROMBERG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509.828.4644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509.455.3718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sstromberg@fennemorelaw.com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SPENCER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A.W. STROMBERG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509.828.4644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509.455.3718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sstromberg@fennemorelaw.com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SPENCER</w:t>
      </w:r>
      <w:r>
        <w:rPr>
          <w:color w:val="FF8100"/>
          <w:spacing w:val="8"/>
        </w:rPr>
        <w:t> </w:t>
      </w:r>
      <w:r>
        <w:rPr>
          <w:color w:val="FF8100"/>
        </w:rPr>
        <w:t>A.W.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STROMBERG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Spencer Stromberg is a business and real estate attorney who represents individuals, families,</w:t>
      </w:r>
      <w:r>
        <w:rPr>
          <w:color w:val="6E6158"/>
          <w:spacing w:val="40"/>
        </w:rPr>
        <w:t> </w:t>
      </w:r>
      <w:r>
        <w:rPr>
          <w:color w:val="6E6158"/>
        </w:rPr>
        <w:t>and businesses in all aspects of property and business ownership, including buying or selling</w:t>
      </w:r>
      <w:r>
        <w:rPr>
          <w:color w:val="6E6158"/>
          <w:spacing w:val="40"/>
        </w:rPr>
        <w:t> </w:t>
      </w:r>
      <w:r>
        <w:rPr>
          <w:color w:val="6E6158"/>
        </w:rPr>
        <w:t>residential property; buying, selling, leasing, or developing land or commercial property; new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formation;</w:t>
      </w:r>
      <w:r>
        <w:rPr>
          <w:color w:val="6E6158"/>
          <w:spacing w:val="32"/>
        </w:rPr>
        <w:t> </w:t>
      </w:r>
      <w:r>
        <w:rPr>
          <w:color w:val="6E6158"/>
        </w:rPr>
        <w:t>buying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selling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business;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navigating</w:t>
      </w:r>
      <w:r>
        <w:rPr>
          <w:color w:val="6E6158"/>
          <w:spacing w:val="32"/>
        </w:rPr>
        <w:t> </w:t>
      </w:r>
      <w:r>
        <w:rPr>
          <w:color w:val="6E6158"/>
        </w:rPr>
        <w:t>disputes</w:t>
      </w:r>
      <w:r>
        <w:rPr>
          <w:color w:val="6E6158"/>
          <w:spacing w:val="32"/>
        </w:rPr>
        <w:t> </w:t>
      </w:r>
      <w:r>
        <w:rPr>
          <w:color w:val="6E6158"/>
        </w:rPr>
        <w:t>when</w:t>
      </w:r>
      <w:r>
        <w:rPr>
          <w:color w:val="6E6158"/>
          <w:spacing w:val="32"/>
        </w:rPr>
        <w:t> </w:t>
      </w:r>
      <w:r>
        <w:rPr>
          <w:color w:val="6E6158"/>
        </w:rPr>
        <w:t>they</w:t>
      </w:r>
      <w:r>
        <w:rPr>
          <w:color w:val="6E6158"/>
          <w:spacing w:val="32"/>
        </w:rPr>
        <w:t> </w:t>
      </w:r>
      <w:r>
        <w:rPr>
          <w:color w:val="6E6158"/>
        </w:rPr>
        <w:t>arise.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Spencer also works with his clients to determine the best way to leave their hard-earned assets</w:t>
      </w:r>
      <w:r>
        <w:rPr>
          <w:color w:val="6E6158"/>
          <w:spacing w:val="80"/>
        </w:rPr>
        <w:t> </w:t>
      </w:r>
      <w:r>
        <w:rPr>
          <w:color w:val="6E6158"/>
        </w:rPr>
        <w:t>to their loved ones after death.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Spencer went to law school to become the kind of attorney who could assist his family’s</w:t>
      </w:r>
      <w:r>
        <w:rPr>
          <w:color w:val="6E6158"/>
          <w:spacing w:val="40"/>
        </w:rPr>
        <w:t> </w:t>
      </w:r>
      <w:r>
        <w:rPr>
          <w:color w:val="6E6158"/>
        </w:rPr>
        <w:t>business,</w:t>
      </w:r>
      <w:r>
        <w:rPr>
          <w:color w:val="6E6158"/>
          <w:spacing w:val="36"/>
        </w:rPr>
        <w:t> </w:t>
      </w:r>
      <w:r>
        <w:rPr>
          <w:color w:val="6E6158"/>
        </w:rPr>
        <w:t>which</w:t>
      </w:r>
      <w:r>
        <w:rPr>
          <w:color w:val="6E6158"/>
          <w:spacing w:val="36"/>
        </w:rPr>
        <w:t> </w:t>
      </w:r>
      <w:r>
        <w:rPr>
          <w:color w:val="6E6158"/>
        </w:rPr>
        <w:t>was</w:t>
      </w:r>
      <w:r>
        <w:rPr>
          <w:color w:val="6E6158"/>
          <w:spacing w:val="36"/>
        </w:rPr>
        <w:t> </w:t>
      </w:r>
      <w:r>
        <w:rPr>
          <w:color w:val="6E6158"/>
        </w:rPr>
        <w:t>involved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real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development,</w:t>
      </w:r>
      <w:r>
        <w:rPr>
          <w:color w:val="6E6158"/>
          <w:spacing w:val="36"/>
        </w:rPr>
        <w:t> </w:t>
      </w:r>
      <w:r>
        <w:rPr>
          <w:color w:val="6E6158"/>
        </w:rPr>
        <w:t>construction,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property</w:t>
      </w:r>
    </w:p>
    <w:p>
      <w:pPr>
        <w:pStyle w:val="BodyText"/>
        <w:spacing w:line="302" w:lineRule="auto" w:before="1"/>
        <w:ind w:left="104" w:right="490"/>
      </w:pPr>
      <w:r>
        <w:rPr>
          <w:color w:val="6E6158"/>
        </w:rPr>
        <w:t>management. He aimed to understand the legal issues facing small companies and sought</w:t>
      </w:r>
      <w:r>
        <w:rPr>
          <w:color w:val="6E6158"/>
          <w:spacing w:val="40"/>
        </w:rPr>
        <w:t> </w:t>
      </w:r>
      <w:r>
        <w:rPr>
          <w:color w:val="6E6158"/>
        </w:rPr>
        <w:t>practical,</w:t>
      </w:r>
      <w:r>
        <w:rPr>
          <w:color w:val="6E6158"/>
          <w:spacing w:val="13"/>
        </w:rPr>
        <w:t> </w:t>
      </w:r>
      <w:r>
        <w:rPr>
          <w:color w:val="6E6158"/>
        </w:rPr>
        <w:t>real-world</w:t>
      </w:r>
      <w:r>
        <w:rPr>
          <w:color w:val="6E6158"/>
          <w:spacing w:val="13"/>
        </w:rPr>
        <w:t> </w:t>
      </w:r>
      <w:r>
        <w:rPr>
          <w:color w:val="6E6158"/>
        </w:rPr>
        <w:t>solutions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help</w:t>
      </w:r>
      <w:r>
        <w:rPr>
          <w:color w:val="6E6158"/>
          <w:spacing w:val="13"/>
        </w:rPr>
        <w:t> </w:t>
      </w:r>
      <w:r>
        <w:rPr>
          <w:color w:val="6E6158"/>
        </w:rPr>
        <w:t>resolve</w:t>
      </w:r>
      <w:r>
        <w:rPr>
          <w:color w:val="6E6158"/>
          <w:spacing w:val="14"/>
        </w:rPr>
        <w:t> </w:t>
      </w:r>
      <w:r>
        <w:rPr>
          <w:color w:val="6E6158"/>
        </w:rPr>
        <w:t>them.</w:t>
      </w:r>
      <w:r>
        <w:rPr>
          <w:color w:val="6E6158"/>
          <w:spacing w:val="13"/>
        </w:rPr>
        <w:t> </w:t>
      </w:r>
      <w:r>
        <w:rPr>
          <w:color w:val="6E6158"/>
        </w:rPr>
        <w:t>Upon</w:t>
      </w:r>
      <w:r>
        <w:rPr>
          <w:color w:val="6E6158"/>
          <w:spacing w:val="13"/>
        </w:rPr>
        <w:t> </w:t>
      </w:r>
      <w:r>
        <w:rPr>
          <w:color w:val="6E6158"/>
        </w:rPr>
        <w:t>graduating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beginning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295" w:lineRule="auto" w:before="0"/>
        <w:ind w:left="104"/>
      </w:pPr>
      <w:r>
        <w:rPr>
          <w:color w:val="6E6158"/>
        </w:rPr>
        <w:t>practice, he discovered that the challenges faced by small business owners are also </w:t>
      </w:r>
      <w:r>
        <w:rPr>
          <w:color w:val="6E6158"/>
        </w:rPr>
        <w:t>commonly</w:t>
      </w:r>
      <w:r>
        <w:rPr>
          <w:color w:val="6E6158"/>
          <w:spacing w:val="40"/>
        </w:rPr>
        <w:t> </w:t>
      </w:r>
      <w:r>
        <w:rPr>
          <w:color w:val="6E6158"/>
        </w:rPr>
        <w:t>encountered</w:t>
      </w:r>
      <w:r>
        <w:rPr>
          <w:color w:val="6E6158"/>
          <w:spacing w:val="35"/>
        </w:rPr>
        <w:t> </w:t>
      </w:r>
      <w:r>
        <w:rPr>
          <w:color w:val="6E6158"/>
        </w:rPr>
        <w:t>by</w:t>
      </w:r>
      <w:r>
        <w:rPr>
          <w:color w:val="6E6158"/>
          <w:spacing w:val="35"/>
        </w:rPr>
        <w:t> </w:t>
      </w:r>
      <w:r>
        <w:rPr>
          <w:color w:val="6E6158"/>
        </w:rPr>
        <w:t>individuals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families.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recognized</w:t>
      </w:r>
      <w:r>
        <w:rPr>
          <w:color w:val="6E6158"/>
          <w:spacing w:val="35"/>
        </w:rPr>
        <w:t> </w:t>
      </w:r>
      <w:r>
        <w:rPr>
          <w:color w:val="6E6158"/>
        </w:rPr>
        <w:t>that</w:t>
      </w:r>
      <w:r>
        <w:rPr>
          <w:color w:val="6E6158"/>
          <w:spacing w:val="35"/>
        </w:rPr>
        <w:t> </w:t>
      </w:r>
      <w:r>
        <w:rPr>
          <w:color w:val="6E6158"/>
        </w:rPr>
        <w:t>these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would</w:t>
      </w:r>
      <w:r>
        <w:rPr>
          <w:color w:val="6E6158"/>
          <w:spacing w:val="35"/>
        </w:rPr>
        <w:t> </w:t>
      </w:r>
      <w:r>
        <w:rPr>
          <w:color w:val="6E6158"/>
        </w:rPr>
        <w:t>eventually need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address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passing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homes,</w:t>
      </w:r>
      <w:r>
        <w:rPr>
          <w:color w:val="6E6158"/>
          <w:spacing w:val="27"/>
        </w:rPr>
        <w:t> </w:t>
      </w:r>
      <w:r>
        <w:rPr>
          <w:color w:val="6E6158"/>
        </w:rPr>
        <w:t>land,</w:t>
      </w:r>
      <w:r>
        <w:rPr>
          <w:color w:val="6E6158"/>
          <w:spacing w:val="27"/>
        </w:rPr>
        <w:t> </w:t>
      </w:r>
      <w:r>
        <w:rPr>
          <w:color w:val="6E6158"/>
        </w:rPr>
        <w:t>investments,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businesses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to family or other loved ones. Spencer is committed to prioritizing client service, with the mission of</w:t>
      </w:r>
      <w:r>
        <w:rPr>
          <w:color w:val="6E6158"/>
          <w:spacing w:val="40"/>
        </w:rPr>
        <w:t> </w:t>
      </w:r>
      <w:r>
        <w:rPr>
          <w:color w:val="6E6158"/>
        </w:rPr>
        <w:t>helping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navigate</w:t>
      </w:r>
      <w:r>
        <w:rPr>
          <w:color w:val="6E6158"/>
          <w:spacing w:val="32"/>
        </w:rPr>
        <w:t> </w:t>
      </w:r>
      <w:r>
        <w:rPr>
          <w:color w:val="6E6158"/>
        </w:rPr>
        <w:t>these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achieve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best</w:t>
      </w:r>
      <w:r>
        <w:rPr>
          <w:color w:val="6E6158"/>
          <w:spacing w:val="32"/>
        </w:rPr>
        <w:t> </w:t>
      </w:r>
      <w:r>
        <w:rPr>
          <w:color w:val="6E6158"/>
        </w:rPr>
        <w:t>possible</w:t>
      </w:r>
      <w:r>
        <w:rPr>
          <w:color w:val="6E6158"/>
          <w:spacing w:val="32"/>
        </w:rPr>
        <w:t> </w:t>
      </w:r>
      <w:r>
        <w:rPr>
          <w:color w:val="6E6158"/>
        </w:rPr>
        <w:t>outcomes.</w:t>
      </w:r>
    </w:p>
    <w:p>
      <w:pPr>
        <w:pStyle w:val="BodyText"/>
        <w:spacing w:line="295" w:lineRule="auto" w:before="186"/>
        <w:ind w:left="104" w:right="490"/>
      </w:pPr>
      <w:r>
        <w:rPr>
          <w:color w:val="6E6158"/>
        </w:rPr>
        <w:t>A frequent lecturer and author, Spencer has spoken at numerous continuing legal education seminars on key topics such as landlord/tenant law, deed of trust foreclosures, easements, and</w:t>
      </w:r>
      <w:r>
        <w:rPr>
          <w:color w:val="6E6158"/>
          <w:spacing w:val="40"/>
        </w:rPr>
        <w:t> </w:t>
      </w:r>
      <w:r>
        <w:rPr>
          <w:color w:val="6E6158"/>
        </w:rPr>
        <w:t>condominiums. Additionally, he contributes as a co-author to the Washington State Bar Association’s Washington Real Property Deskbook Series, focusing on the ethical issues faced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attorneys in real property matters. Further, Spencer dedicated eight years to serving on the Downtown Spokane Partnership’s Board of Directors and the Business Improvement District</w:t>
      </w:r>
      <w:r>
        <w:rPr>
          <w:color w:val="6E6158"/>
          <w:spacing w:val="40"/>
        </w:rPr>
        <w:t> </w:t>
      </w:r>
      <w:r>
        <w:rPr>
          <w:color w:val="6E6158"/>
        </w:rPr>
        <w:t>Ratepayer</w:t>
      </w:r>
      <w:r>
        <w:rPr>
          <w:color w:val="6E6158"/>
          <w:spacing w:val="28"/>
        </w:rPr>
        <w:t> </w:t>
      </w:r>
      <w:r>
        <w:rPr>
          <w:color w:val="6E6158"/>
        </w:rPr>
        <w:t>Advisory</w:t>
      </w:r>
      <w:r>
        <w:rPr>
          <w:color w:val="6E6158"/>
          <w:spacing w:val="28"/>
        </w:rPr>
        <w:t> </w:t>
      </w:r>
      <w:r>
        <w:rPr>
          <w:color w:val="6E6158"/>
        </w:rPr>
        <w:t>Board.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former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Executive</w:t>
      </w:r>
      <w:r>
        <w:rPr>
          <w:color w:val="6E6158"/>
          <w:spacing w:val="28"/>
        </w:rPr>
        <w:t> </w:t>
      </w:r>
      <w:r>
        <w:rPr>
          <w:color w:val="6E6158"/>
        </w:rPr>
        <w:t>Committee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 Washington State Bar Association’s Real Property, Probate and Trust Section, demonstrating a</w:t>
      </w:r>
      <w:r>
        <w:rPr>
          <w:color w:val="6E6158"/>
          <w:spacing w:val="40"/>
        </w:rPr>
        <w:t> </w:t>
      </w:r>
      <w:r>
        <w:rPr>
          <w:color w:val="6E6158"/>
        </w:rPr>
        <w:t>broad commitment to advancing the legal profession.</w:t>
      </w:r>
    </w:p>
    <w:p>
      <w:pPr>
        <w:pStyle w:val="BodyText"/>
        <w:spacing w:before="204"/>
        <w:ind w:left="104" w:right="0"/>
      </w:pPr>
      <w:r>
        <w:rPr>
          <w:color w:val="6E6158"/>
        </w:rPr>
        <w:t>Prior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joining</w:t>
      </w:r>
      <w:r>
        <w:rPr>
          <w:color w:val="6E6158"/>
          <w:spacing w:val="14"/>
        </w:rPr>
        <w:t> </w:t>
      </w:r>
      <w:r>
        <w:rPr>
          <w:color w:val="6E6158"/>
        </w:rPr>
        <w:t>Fennemore,</w:t>
      </w:r>
      <w:r>
        <w:rPr>
          <w:color w:val="6E6158"/>
          <w:spacing w:val="15"/>
        </w:rPr>
        <w:t> </w:t>
      </w:r>
      <w:r>
        <w:rPr>
          <w:color w:val="6E6158"/>
        </w:rPr>
        <w:t>Spencer</w:t>
      </w:r>
      <w:r>
        <w:rPr>
          <w:color w:val="6E6158"/>
          <w:spacing w:val="14"/>
        </w:rPr>
        <w:t> </w:t>
      </w:r>
      <w:r>
        <w:rPr>
          <w:color w:val="6E6158"/>
        </w:rPr>
        <w:t>co-founded</w:t>
      </w:r>
      <w:r>
        <w:rPr>
          <w:color w:val="6E6158"/>
          <w:spacing w:val="15"/>
        </w:rPr>
        <w:t> </w:t>
      </w:r>
      <w:r>
        <w:rPr>
          <w:color w:val="6E6158"/>
        </w:rPr>
        <w:t>Sullivan</w:t>
      </w:r>
      <w:r>
        <w:rPr>
          <w:color w:val="6E6158"/>
          <w:spacing w:val="15"/>
        </w:rPr>
        <w:t> </w:t>
      </w:r>
      <w:r>
        <w:rPr>
          <w:color w:val="6E6158"/>
        </w:rPr>
        <w:t>Stromberg,</w:t>
      </w:r>
      <w:r>
        <w:rPr>
          <w:color w:val="6E6158"/>
          <w:spacing w:val="14"/>
        </w:rPr>
        <w:t> </w:t>
      </w:r>
      <w:r>
        <w:rPr>
          <w:color w:val="6E6158"/>
        </w:rPr>
        <w:t>PLLC,</w:t>
      </w:r>
      <w:r>
        <w:rPr>
          <w:color w:val="6E6158"/>
          <w:spacing w:val="15"/>
        </w:rPr>
        <w:t> </w:t>
      </w:r>
      <w:r>
        <w:rPr>
          <w:color w:val="6E6158"/>
        </w:rPr>
        <w:t>which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became</w:t>
      </w:r>
    </w:p>
    <w:p>
      <w:pPr>
        <w:pStyle w:val="BodyText"/>
        <w:spacing w:line="292" w:lineRule="auto" w:before="52"/>
        <w:ind w:left="104" w:right="471"/>
      </w:pPr>
      <w:r>
        <w:rPr>
          <w:color w:val="6E6158"/>
        </w:rPr>
        <w:t>Lucent Law, PLLC. Previously, he worked as in-house counsel, and as a property and project</w:t>
      </w:r>
      <w:r>
        <w:rPr>
          <w:color w:val="6E6158"/>
          <w:spacing w:val="40"/>
        </w:rPr>
        <w:t> </w:t>
      </w:r>
      <w:r>
        <w:rPr>
          <w:color w:val="6E6158"/>
        </w:rPr>
        <w:t>manager for a family-owned real estate development, construction and property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company.</w:t>
      </w:r>
      <w:r>
        <w:rPr>
          <w:color w:val="6E6158"/>
          <w:spacing w:val="26"/>
        </w:rPr>
        <w:t> </w:t>
      </w:r>
      <w:r>
        <w:rPr>
          <w:color w:val="6E6158"/>
        </w:rPr>
        <w:t>Further,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small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owner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restaurant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brewery</w:t>
      </w:r>
      <w:r>
        <w:rPr>
          <w:color w:val="6E6158"/>
          <w:spacing w:val="26"/>
        </w:rPr>
        <w:t> </w:t>
      </w:r>
      <w:r>
        <w:rPr>
          <w:color w:val="6E6158"/>
        </w:rPr>
        <w:t>industries.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471"/>
      </w:pPr>
      <w:r>
        <w:rPr>
          <w:color w:val="6E6158"/>
        </w:rPr>
        <w:t>His experiences of running a small business and managing construction projects and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property give him a unique understanding of the issues faced by his clients and the ability to</w:t>
      </w:r>
      <w:r>
        <w:rPr>
          <w:color w:val="6E6158"/>
          <w:spacing w:val="40"/>
        </w:rPr>
        <w:t> </w:t>
      </w:r>
      <w:r>
        <w:rPr>
          <w:color w:val="6E6158"/>
        </w:rPr>
        <w:t>strategically form pragmatic solutions to resolving those issues.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49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152378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27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410743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026pt;width:1.65pt;height:1.65pt;mso-position-horizontal-relative:page;mso-position-vertical-relative:paragraph;z-index:15729664" id="docshape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Washington School of </w:t>
      </w:r>
      <w:r>
        <w:rPr>
          <w:color w:val="6E6158"/>
        </w:rPr>
        <w:t>Law</w:t>
      </w:r>
      <w:r>
        <w:rPr>
          <w:color w:val="6E6158"/>
        </w:rPr>
        <w:t> B.A., University of Washington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right="76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157753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542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416119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289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9039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Trusts &amp; Estates Real Estate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196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“Special Considerations for Commercial and Investment Transactions,” </w:t>
      </w:r>
      <w:r>
        <w:rPr>
          <w:color w:val="6E6158"/>
        </w:rPr>
        <w:t>Handling Real Estate Transactions from Start to Finish Seminar, April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131282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228pt;width:1.65pt;height:1.65pt;mso-position-horizontal-relative:page;mso-position-vertical-relative:paragraph;z-index:15732224" id="docshape1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2016</w:t>
      </w:r>
    </w:p>
    <w:p>
      <w:pPr>
        <w:pStyle w:val="BodyText"/>
        <w:spacing w:line="30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137810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201pt;width:1.65pt;height:1.65pt;mso-position-horizontal-relative:page;mso-position-vertical-relative:paragraph;z-index:15732736" id="docshape1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2016</w:t>
      </w:r>
    </w:p>
    <w:p>
      <w:pPr>
        <w:pStyle w:val="BodyText"/>
        <w:spacing w:line="292" w:lineRule="auto"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131320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233pt;width:1.65pt;height:1.65pt;mso-position-horizontal-relative:page;mso-position-vertical-relative:paragraph;z-index:15733248" id="docshape1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143015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082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2014</w:t>
      </w:r>
    </w:p>
    <w:p>
      <w:pPr>
        <w:pStyle w:val="BodyText"/>
        <w:spacing w:line="29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138113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054pt;width:1.65pt;height:1.65pt;mso-position-horizontal-relative:page;mso-position-vertical-relative:paragraph;z-index:15734272" id="docshape17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“Case Study: Mixed Use Development Projects – A Panel Discussion,” Real </w:t>
      </w:r>
      <w:r>
        <w:rPr>
          <w:color w:val="6E6158"/>
        </w:rPr>
        <w:t>Estate Development in Eastern Washington &amp; Idaho Seminar, September 2013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903pt;width:1.65pt;height:1.65pt;mso-position-horizontal-relative:page;mso-position-vertical-relative:paragraph;z-index:15734784" id="docshape18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“Terminating or Releasing Easement Options,” Boundary Issues and Easement </w:t>
      </w:r>
      <w:r>
        <w:rPr>
          <w:color w:val="6E6158"/>
        </w:rPr>
        <w:t>Law Seminar, December 2011</w:t>
      </w:r>
    </w:p>
    <w:p>
      <w:pPr>
        <w:pStyle w:val="BodyText"/>
        <w:spacing w:line="29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877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“Creating and Enforcing Easements,” Boundary Issues and Easement Law Seminar, December 2011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143265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725pt;width:1.65pt;height:1.65pt;mso-position-horizontal-relative:page;mso-position-vertical-relative:paragraph;z-index:15735808" id="docshape2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“Commercial Condominiums and Conversions,” Advanced Commercial </w:t>
      </w:r>
      <w:r>
        <w:rPr>
          <w:color w:val="6E6158"/>
        </w:rPr>
        <w:t>Leases Seminar, July 2010</w:t>
      </w:r>
    </w:p>
    <w:p>
      <w:pPr>
        <w:pStyle w:val="BodyText"/>
        <w:spacing w:line="29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137727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698pt;width:1.65pt;height:1.65pt;mso-position-horizontal-relative:page;mso-position-vertical-relative:paragraph;z-index:15736320" id="docshape2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State Bar Association, Washington Real Property Deskbook Series: Duties </w:t>
      </w:r>
      <w:r>
        <w:rPr>
          <w:color w:val="6E6158"/>
        </w:rPr>
        <w:t>and Responsibilities of the Lawyer (4th Ed., 2009)</w:t>
      </w:r>
    </w:p>
    <w:p>
      <w:pPr>
        <w:pStyle w:val="BodyText"/>
        <w:spacing w:line="292" w:lineRule="auto" w:before="132"/>
        <w:ind w:right="4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546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“Tenant/Borrower Issues in Foreclosure,” Drafting and Foreclosing Deeds of Trust after the Amendments to the Deed of Trust Act Seminar, October 1998</w:t>
      </w:r>
    </w:p>
    <w:p>
      <w:pPr>
        <w:pStyle w:val="BodyText"/>
        <w:spacing w:line="302" w:lineRule="auto"/>
        <w:ind w:right="4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137534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519pt;width:1.65pt;height:1.65pt;mso-position-horizontal-relative:page;mso-position-vertical-relative:paragraph;z-index:15737344" id="docshape2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“Evictions under the Washington Residential Landlord Tenant Act,” Washington State Bar</w:t>
      </w:r>
      <w:r>
        <w:rPr>
          <w:color w:val="6E6158"/>
          <w:spacing w:val="33"/>
        </w:rPr>
        <w:t> </w:t>
      </w:r>
      <w:r>
        <w:rPr>
          <w:color w:val="6E6158"/>
        </w:rPr>
        <w:t>Association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Property,</w:t>
      </w:r>
      <w:r>
        <w:rPr>
          <w:color w:val="6E6158"/>
          <w:spacing w:val="33"/>
        </w:rPr>
        <w:t> </w:t>
      </w:r>
      <w:r>
        <w:rPr>
          <w:color w:val="6E6158"/>
        </w:rPr>
        <w:t>Probate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Trust</w:t>
      </w:r>
      <w:r>
        <w:rPr>
          <w:color w:val="6E6158"/>
          <w:spacing w:val="33"/>
        </w:rPr>
        <w:t> </w:t>
      </w:r>
      <w:r>
        <w:rPr>
          <w:color w:val="6E6158"/>
        </w:rPr>
        <w:t>Section</w:t>
      </w:r>
      <w:r>
        <w:rPr>
          <w:color w:val="6E6158"/>
          <w:spacing w:val="33"/>
        </w:rPr>
        <w:t> </w:t>
      </w:r>
      <w:r>
        <w:rPr>
          <w:color w:val="6E6158"/>
        </w:rPr>
        <w:t>Midyear</w:t>
      </w:r>
      <w:r>
        <w:rPr>
          <w:color w:val="6E6158"/>
          <w:spacing w:val="33"/>
        </w:rPr>
        <w:t> </w:t>
      </w:r>
      <w:r>
        <w:rPr>
          <w:color w:val="6E6158"/>
        </w:rPr>
        <w:t>Meeting,</w:t>
      </w:r>
      <w:r>
        <w:rPr>
          <w:color w:val="6E6158"/>
          <w:spacing w:val="33"/>
        </w:rPr>
        <w:t> </w:t>
      </w:r>
      <w:r>
        <w:rPr>
          <w:color w:val="6E6158"/>
        </w:rPr>
        <w:t>June</w:t>
      </w:r>
      <w:r>
        <w:rPr>
          <w:color w:val="6E6158"/>
          <w:spacing w:val="33"/>
        </w:rPr>
        <w:t> </w:t>
      </w:r>
      <w:r>
        <w:rPr>
          <w:color w:val="6E6158"/>
        </w:rPr>
        <w:t>1995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152582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09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Washington State Bar Association Real Property, Probate and </w:t>
      </w:r>
      <w:r>
        <w:rPr>
          <w:color w:val="6E6158"/>
        </w:rPr>
        <w:t>Trust Section, 2011-2013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4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8368" id="docshape2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Washington State Bar Association Real Property, Probate and Trust Section </w:t>
      </w:r>
      <w:r>
        <w:rPr>
          <w:color w:val="6E6158"/>
        </w:rPr>
        <w:t>Midyear Meeting, 2014</w:t>
      </w:r>
    </w:p>
    <w:p>
      <w:pPr>
        <w:pStyle w:val="Heading1"/>
        <w:spacing w:before="17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7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7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410977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42pt;width:1.65pt;height:1.65pt;mso-position-horizontal-relative:page;mso-position-vertical-relative:paragraph;z-index:15739392" id="docshape27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Idaho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58257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201pt;width:1.65pt;height:1.65pt;mso-position-horizontal-relative:page;mso-position-vertical-relative:paragraph;z-index:15739904" id="docshape28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713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771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sstromber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2025-01-07T15:35:27Z</dcterms:created>
  <dcterms:modified xsi:type="dcterms:W3CDTF">2025-01-07T15:35:27Z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