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20" w:right="2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THIELE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ROBIN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DUNAWAY</w:t>
                              </w:r>
                            </w:p>
                            <w:p>
                              <w:pPr>
                                <w:spacing w:before="48"/>
                                <w:ind w:left="220" w:right="22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220" w:right="22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0" w:right="22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20" w:right="22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rdunaway@fennemorelaw.com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opacity="53713f"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20" w:right="2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THIELE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ROBIN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DUNAWAY</w:t>
                        </w:r>
                      </w:p>
                      <w:p>
                        <w:pPr>
                          <w:spacing w:before="48"/>
                          <w:ind w:left="220" w:right="22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220" w:right="22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20" w:right="22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220" w:right="22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rdunaway@fennemorelaw.com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THIELE</w:t>
      </w:r>
      <w:r>
        <w:rPr>
          <w:color w:val="FF8100"/>
          <w:spacing w:val="8"/>
        </w:rPr>
        <w:t> </w:t>
      </w:r>
      <w:r>
        <w:rPr>
          <w:color w:val="FF8100"/>
        </w:rPr>
        <w:t>ROBIN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DUNAWAY</w:t>
      </w:r>
    </w:p>
    <w:p>
      <w:pPr>
        <w:pStyle w:val="BodyText"/>
        <w:spacing w:line="302" w:lineRule="auto" w:before="147"/>
        <w:ind w:left="104" w:right="773"/>
      </w:pPr>
      <w:r>
        <w:rPr>
          <w:color w:val="6E6158"/>
        </w:rPr>
        <w:t>Robin handles a range of state and federal civil litigation matters, including matters related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  <w:r>
        <w:rPr>
          <w:color w:val="6E6158"/>
          <w:spacing w:val="38"/>
        </w:rPr>
        <w:t> </w:t>
      </w:r>
      <w:r>
        <w:rPr>
          <w:color w:val="6E6158"/>
        </w:rPr>
        <w:t>use,</w:t>
      </w:r>
      <w:r>
        <w:rPr>
          <w:color w:val="6E6158"/>
          <w:spacing w:val="38"/>
        </w:rPr>
        <w:t> </w:t>
      </w:r>
      <w:r>
        <w:rPr>
          <w:color w:val="6E6158"/>
        </w:rPr>
        <w:t>natural</w:t>
      </w:r>
      <w:r>
        <w:rPr>
          <w:color w:val="6E6158"/>
          <w:spacing w:val="38"/>
        </w:rPr>
        <w:t> </w:t>
      </w:r>
      <w:r>
        <w:rPr>
          <w:color w:val="6E6158"/>
        </w:rPr>
        <w:t>resources,</w:t>
      </w:r>
      <w:r>
        <w:rPr>
          <w:color w:val="6E6158"/>
          <w:spacing w:val="38"/>
        </w:rPr>
        <w:t> </w:t>
      </w:r>
      <w:r>
        <w:rPr>
          <w:color w:val="6E6158"/>
        </w:rPr>
        <w:t>climate</w:t>
      </w:r>
      <w:r>
        <w:rPr>
          <w:color w:val="6E6158"/>
          <w:spacing w:val="38"/>
        </w:rPr>
        <w:t> </w:t>
      </w:r>
      <w:r>
        <w:rPr>
          <w:color w:val="6E6158"/>
        </w:rPr>
        <w:t>change,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appellate</w:t>
      </w:r>
      <w:r>
        <w:rPr>
          <w:color w:val="6E6158"/>
          <w:spacing w:val="38"/>
        </w:rPr>
        <w:t> </w:t>
      </w:r>
      <w:r>
        <w:rPr>
          <w:color w:val="6E6158"/>
        </w:rPr>
        <w:t>advocacy.</w:t>
      </w:r>
    </w:p>
    <w:p>
      <w:pPr>
        <w:pStyle w:val="BodyText"/>
        <w:spacing w:line="292" w:lineRule="auto"/>
        <w:ind w:left="104" w:right="773"/>
      </w:pPr>
      <w:r>
        <w:rPr>
          <w:color w:val="6E6158"/>
        </w:rPr>
        <w:t>Pragmatic, diligent, and tenacious, Robin provides trusted counsel to clients, is skilled at</w:t>
      </w:r>
      <w:r>
        <w:rPr>
          <w:color w:val="6E6158"/>
          <w:spacing w:val="40"/>
        </w:rPr>
        <w:t> </w:t>
      </w:r>
      <w:r>
        <w:rPr>
          <w:color w:val="6E6158"/>
        </w:rPr>
        <w:t>investigation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assessment,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highly</w:t>
      </w:r>
      <w:r>
        <w:rPr>
          <w:color w:val="6E6158"/>
          <w:spacing w:val="19"/>
        </w:rPr>
        <w:t> </w:t>
      </w:r>
      <w:r>
        <w:rPr>
          <w:color w:val="6E6158"/>
        </w:rPr>
        <w:t>experienced</w:t>
      </w:r>
      <w:r>
        <w:rPr>
          <w:color w:val="6E6158"/>
          <w:spacing w:val="19"/>
        </w:rPr>
        <w:t> </w:t>
      </w:r>
      <w:r>
        <w:rPr>
          <w:color w:val="6E6158"/>
        </w:rPr>
        <w:t>at</w:t>
      </w:r>
      <w:r>
        <w:rPr>
          <w:color w:val="6E6158"/>
          <w:spacing w:val="19"/>
        </w:rPr>
        <w:t> </w:t>
      </w:r>
      <w:r>
        <w:rPr>
          <w:color w:val="6E6158"/>
        </w:rPr>
        <w:t>achieving</w:t>
      </w:r>
      <w:r>
        <w:rPr>
          <w:color w:val="6E6158"/>
          <w:spacing w:val="19"/>
        </w:rPr>
        <w:t> </w:t>
      </w:r>
      <w:r>
        <w:rPr>
          <w:color w:val="6E6158"/>
        </w:rPr>
        <w:t>successful</w:t>
      </w:r>
      <w:r>
        <w:rPr>
          <w:color w:val="6E6158"/>
          <w:spacing w:val="19"/>
        </w:rPr>
        <w:t> </w:t>
      </w:r>
      <w:r>
        <w:rPr>
          <w:color w:val="6E6158"/>
        </w:rPr>
        <w:t>outcomes.</w:t>
      </w:r>
    </w:p>
    <w:p>
      <w:pPr>
        <w:pStyle w:val="Heading2"/>
      </w:pPr>
      <w:r>
        <w:rPr>
          <w:color w:val="6E6158"/>
          <w:spacing w:val="-2"/>
        </w:rPr>
        <w:t>Litigation</w:t>
      </w:r>
    </w:p>
    <w:p>
      <w:pPr>
        <w:pStyle w:val="BodyText"/>
        <w:spacing w:line="292" w:lineRule="auto" w:before="181"/>
        <w:ind w:left="104" w:right="773"/>
      </w:pPr>
      <w:r>
        <w:rPr>
          <w:color w:val="6E6158"/>
        </w:rPr>
        <w:t>With a focus on appellate work in state and federal courts, Robin is experienced litigating a</w:t>
      </w:r>
      <w:r>
        <w:rPr>
          <w:color w:val="6E6158"/>
          <w:spacing w:val="40"/>
        </w:rPr>
        <w:t> </w:t>
      </w:r>
      <w:r>
        <w:rPr>
          <w:color w:val="6E6158"/>
        </w:rPr>
        <w:t>broad range of issues, including complex business matters involving real property, </w:t>
      </w:r>
      <w:r>
        <w:rPr>
          <w:color w:val="6E6158"/>
        </w:rPr>
        <w:t>contracts,</w:t>
      </w:r>
      <w:r>
        <w:rPr>
          <w:color w:val="6E6158"/>
          <w:spacing w:val="40"/>
        </w:rPr>
        <w:t> </w:t>
      </w:r>
      <w:r>
        <w:rPr>
          <w:color w:val="6E6158"/>
        </w:rPr>
        <w:t>business tort claims, and bankruptcy issues.</w:t>
      </w:r>
    </w:p>
    <w:p>
      <w:pPr>
        <w:pStyle w:val="BodyText"/>
        <w:spacing w:line="302" w:lineRule="auto" w:before="197"/>
        <w:ind w:left="104" w:right="486"/>
      </w:pP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significant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litigating</w:t>
      </w:r>
      <w:r>
        <w:rPr>
          <w:color w:val="6E6158"/>
          <w:spacing w:val="27"/>
        </w:rPr>
        <w:t> </w:t>
      </w:r>
      <w:r>
        <w:rPr>
          <w:color w:val="6E6158"/>
        </w:rPr>
        <w:t>disputes</w:t>
      </w:r>
      <w:r>
        <w:rPr>
          <w:color w:val="6E6158"/>
          <w:spacing w:val="27"/>
        </w:rPr>
        <w:t> </w:t>
      </w:r>
      <w:r>
        <w:rPr>
          <w:color w:val="6E6158"/>
        </w:rPr>
        <w:t>involving</w:t>
      </w:r>
      <w:r>
        <w:rPr>
          <w:color w:val="6E6158"/>
          <w:spacing w:val="27"/>
        </w:rPr>
        <w:t> </w:t>
      </w:r>
      <w:r>
        <w:rPr>
          <w:color w:val="6E6158"/>
        </w:rPr>
        <w:t>commercial</w:t>
      </w:r>
      <w:r>
        <w:rPr>
          <w:color w:val="6E6158"/>
          <w:spacing w:val="27"/>
        </w:rPr>
        <w:t> </w:t>
      </w:r>
      <w:r>
        <w:rPr>
          <w:color w:val="6E6158"/>
        </w:rPr>
        <w:t>loan</w:t>
      </w:r>
      <w:r>
        <w:rPr>
          <w:color w:val="6E6158"/>
          <w:spacing w:val="27"/>
        </w:rPr>
        <w:t> </w:t>
      </w:r>
      <w:r>
        <w:rPr>
          <w:color w:val="6E6158"/>
        </w:rPr>
        <w:t>documents,</w:t>
      </w:r>
      <w:r>
        <w:rPr>
          <w:color w:val="6E6158"/>
          <w:spacing w:val="27"/>
        </w:rPr>
        <w:t> </w:t>
      </w:r>
      <w:r>
        <w:rPr>
          <w:color w:val="6E6158"/>
        </w:rPr>
        <w:t>deeds of</w:t>
      </w:r>
      <w:r>
        <w:rPr>
          <w:color w:val="6E6158"/>
          <w:spacing w:val="13"/>
        </w:rPr>
        <w:t> </w:t>
      </w:r>
      <w:r>
        <w:rPr>
          <w:color w:val="6E6158"/>
        </w:rPr>
        <w:t>trust,</w:t>
      </w:r>
      <w:r>
        <w:rPr>
          <w:color w:val="6E6158"/>
          <w:spacing w:val="13"/>
        </w:rPr>
        <w:t> </w:t>
      </w:r>
      <w:r>
        <w:rPr>
          <w:color w:val="6E6158"/>
        </w:rPr>
        <w:t>title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property,</w:t>
      </w:r>
      <w:r>
        <w:rPr>
          <w:color w:val="6E6158"/>
          <w:spacing w:val="13"/>
        </w:rPr>
        <w:t> </w:t>
      </w:r>
      <w:r>
        <w:rPr>
          <w:color w:val="6E6158"/>
        </w:rPr>
        <w:t>various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contracts,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well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probate</w:t>
      </w:r>
      <w:r>
        <w:rPr>
          <w:color w:val="6E6158"/>
          <w:spacing w:val="13"/>
        </w:rPr>
        <w:t> </w:t>
      </w:r>
      <w:r>
        <w:rPr>
          <w:color w:val="6E6158"/>
        </w:rPr>
        <w:t>instruments.</w:t>
      </w:r>
    </w:p>
    <w:p>
      <w:pPr>
        <w:pStyle w:val="BodyText"/>
        <w:spacing w:line="292" w:lineRule="auto"/>
        <w:ind w:left="104" w:right="773"/>
      </w:pPr>
      <w:r>
        <w:rPr>
          <w:color w:val="6E6158"/>
        </w:rPr>
        <w:t>She has also handled matters related to public agency contracts and the Brown Act “open</w:t>
      </w:r>
      <w:r>
        <w:rPr>
          <w:color w:val="6E6158"/>
          <w:spacing w:val="40"/>
        </w:rPr>
        <w:t> </w:t>
      </w:r>
      <w:r>
        <w:rPr>
          <w:color w:val="6E6158"/>
        </w:rPr>
        <w:t>meetings” law.</w:t>
      </w:r>
    </w:p>
    <w:p>
      <w:pPr>
        <w:pStyle w:val="Heading2"/>
        <w:spacing w:before="188"/>
      </w:pPr>
      <w:r>
        <w:rPr>
          <w:color w:val="6E6158"/>
        </w:rPr>
        <w:t>Land</w:t>
      </w:r>
      <w:r>
        <w:rPr>
          <w:color w:val="6E6158"/>
          <w:spacing w:val="-10"/>
        </w:rPr>
        <w:t> </w:t>
      </w:r>
      <w:r>
        <w:rPr>
          <w:color w:val="6E6158"/>
        </w:rPr>
        <w:t>Use</w:t>
      </w:r>
      <w:r>
        <w:rPr>
          <w:color w:val="6E6158"/>
          <w:spacing w:val="-9"/>
        </w:rPr>
        <w:t> </w:t>
      </w:r>
      <w:r>
        <w:rPr>
          <w:color w:val="6E6158"/>
        </w:rPr>
        <w:t>Compliance</w:t>
      </w:r>
      <w:r>
        <w:rPr>
          <w:color w:val="6E6158"/>
          <w:spacing w:val="-10"/>
        </w:rPr>
        <w:t> </w:t>
      </w:r>
      <w:r>
        <w:rPr>
          <w:color w:val="6E6158"/>
        </w:rPr>
        <w:t>and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292" w:lineRule="auto" w:before="173"/>
        <w:ind w:left="104" w:right="773"/>
      </w:pPr>
      <w:r>
        <w:rPr>
          <w:color w:val="6E6158"/>
        </w:rPr>
        <w:t>Robin is experienced in disputes concerning land use permitting. Her land use litigation and</w:t>
      </w:r>
      <w:r>
        <w:rPr>
          <w:color w:val="6E6158"/>
          <w:spacing w:val="40"/>
        </w:rPr>
        <w:t> </w:t>
      </w:r>
      <w:r>
        <w:rPr>
          <w:color w:val="6E6158"/>
        </w:rPr>
        <w:t>compliance work includes cases involving the California Environmental Quality Act (CEQA),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Subdivision</w:t>
      </w:r>
      <w:r>
        <w:rPr>
          <w:color w:val="6E6158"/>
          <w:spacing w:val="28"/>
        </w:rPr>
        <w:t> </w:t>
      </w:r>
      <w:r>
        <w:rPr>
          <w:color w:val="6E6158"/>
        </w:rPr>
        <w:t>Map</w:t>
      </w:r>
      <w:r>
        <w:rPr>
          <w:color w:val="6E6158"/>
          <w:spacing w:val="28"/>
        </w:rPr>
        <w:t> </w:t>
      </w:r>
      <w:r>
        <w:rPr>
          <w:color w:val="6E6158"/>
        </w:rPr>
        <w:t>Act,</w:t>
      </w:r>
      <w:r>
        <w:rPr>
          <w:color w:val="6E6158"/>
          <w:spacing w:val="28"/>
        </w:rPr>
        <w:t> </w:t>
      </w:r>
      <w:r>
        <w:rPr>
          <w:color w:val="6E6158"/>
        </w:rPr>
        <w:t>Section</w:t>
      </w:r>
      <w:r>
        <w:rPr>
          <w:color w:val="6E6158"/>
          <w:spacing w:val="28"/>
        </w:rPr>
        <w:t> </w:t>
      </w:r>
      <w:r>
        <w:rPr>
          <w:color w:val="6E6158"/>
        </w:rPr>
        <w:t>404</w:t>
      </w:r>
      <w:r>
        <w:rPr>
          <w:color w:val="6E6158"/>
          <w:spacing w:val="28"/>
        </w:rPr>
        <w:t> </w:t>
      </w:r>
      <w:r>
        <w:rPr>
          <w:color w:val="6E6158"/>
        </w:rPr>
        <w:t>permitting</w:t>
      </w:r>
      <w:r>
        <w:rPr>
          <w:color w:val="6E6158"/>
          <w:spacing w:val="28"/>
        </w:rPr>
        <w:t> </w:t>
      </w:r>
      <w:r>
        <w:rPr>
          <w:color w:val="6E6158"/>
        </w:rPr>
        <w:t>under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Clean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Act,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trust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doctrine, the Endangered Species Act (including Section 7 consultations), and the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Environmental Policy Act (NEPA).</w:t>
      </w:r>
    </w:p>
    <w:p>
      <w:pPr>
        <w:pStyle w:val="BodyText"/>
        <w:spacing w:line="420" w:lineRule="auto" w:before="1"/>
        <w:ind w:right="72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60292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7416pt;width:1.65pt;height:1.65pt;mso-position-horizontal-relative:page;mso-position-vertical-relative:paragraph;z-index:15729152" id="docshape7" coordorigin="1675,95" coordsize="33,33" path="m1696,127l1687,127,1683,126,1676,120,1675,116,1675,107,1676,103,1683,97,1687,95,1696,95,1699,97,1706,103,1707,107,1707,111,1707,116,1706,120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318657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91166pt;width:1.65pt;height:1.65pt;mso-position-horizontal-relative:page;mso-position-vertical-relative:paragraph;z-index:15729664" id="docshape8" coordorigin="1675,502" coordsize="33,33" path="m1696,534l1687,534,1683,533,1676,526,1675,523,1675,514,1676,510,1683,503,1687,502,1696,502,1699,503,1706,510,1707,514,1707,518,1707,523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Estate Litigation</w:t>
      </w:r>
    </w:p>
    <w:p>
      <w:pPr>
        <w:pStyle w:val="BodyText"/>
        <w:spacing w:line="420" w:lineRule="auto" w:before="7"/>
        <w:ind w:right="5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63815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822pt;width:1.65pt;height:1.65pt;mso-position-horizontal-relative:page;mso-position-vertical-relative:paragraph;z-index:15730176" id="docshape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322180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8572pt;width:1.65pt;height:1.65pt;mso-position-horizontal-relative:page;mso-position-vertical-relative:paragraph;z-index:15730688" id="docshape1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Land Use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58360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5353pt;width:1.65pt;height:1.65pt;mso-position-horizontal-relative:page;mso-position-vertical-relative:paragraph;z-index:15731200" id="docshape11" coordorigin="1675,92" coordsize="33,33" path="m1696,124l1687,124,1683,123,1676,117,1675,113,1675,104,1676,100,1683,93,1687,92,1696,92,1699,93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6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2224" id="docshape1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A.B.,</w:t>
      </w:r>
      <w:r>
        <w:rPr>
          <w:color w:val="6E6158"/>
          <w:spacing w:val="10"/>
        </w:rPr>
        <w:t> </w:t>
      </w:r>
      <w:r>
        <w:rPr>
          <w:color w:val="6E6158"/>
        </w:rPr>
        <w:t>Phi</w:t>
      </w:r>
      <w:r>
        <w:rPr>
          <w:color w:val="6E6158"/>
          <w:spacing w:val="10"/>
        </w:rPr>
        <w:t> </w:t>
      </w:r>
      <w:r>
        <w:rPr>
          <w:color w:val="6E6158"/>
        </w:rPr>
        <w:t>Beta</w:t>
      </w:r>
      <w:r>
        <w:rPr>
          <w:color w:val="6E6158"/>
          <w:spacing w:val="10"/>
        </w:rPr>
        <w:t> </w:t>
      </w:r>
      <w:r>
        <w:rPr>
          <w:color w:val="6E6158"/>
        </w:rPr>
        <w:t>Kappa,</w:t>
      </w:r>
      <w:r>
        <w:rPr>
          <w:color w:val="6E6158"/>
          <w:spacing w:val="10"/>
        </w:rPr>
        <w:t> </w:t>
      </w:r>
      <w:r>
        <w:rPr>
          <w:color w:val="6E6158"/>
        </w:rPr>
        <w:t>Augustana</w:t>
      </w:r>
      <w:r>
        <w:rPr>
          <w:color w:val="6E6158"/>
          <w:spacing w:val="10"/>
        </w:rPr>
        <w:t> </w:t>
      </w:r>
      <w:r>
        <w:rPr>
          <w:color w:val="6E6158"/>
        </w:rPr>
        <w:t>College,</w:t>
      </w:r>
      <w:r>
        <w:rPr>
          <w:color w:val="6E6158"/>
          <w:spacing w:val="10"/>
        </w:rPr>
        <w:t> </w:t>
      </w:r>
      <w:r>
        <w:rPr>
          <w:color w:val="6E6158"/>
        </w:rPr>
        <w:t>Rock</w:t>
      </w:r>
      <w:r>
        <w:rPr>
          <w:color w:val="6E6158"/>
          <w:spacing w:val="10"/>
        </w:rPr>
        <w:t> </w:t>
      </w:r>
      <w:r>
        <w:rPr>
          <w:color w:val="6E6158"/>
        </w:rPr>
        <w:t>Island,</w:t>
      </w:r>
      <w:r>
        <w:rPr>
          <w:color w:val="6E6158"/>
          <w:spacing w:val="10"/>
        </w:rPr>
        <w:t> </w:t>
      </w:r>
      <w:r>
        <w:rPr>
          <w:color w:val="6E6158"/>
        </w:rPr>
        <w:t>Illinois,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2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28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411045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5776pt;width:1.65pt;height:1.65pt;mso-position-horizontal-relative:page;mso-position-vertical-relative:paragraph;z-index:15733248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Estate Litigation</w:t>
      </w:r>
    </w:p>
    <w:p>
      <w:pPr>
        <w:pStyle w:val="BodyText"/>
        <w:spacing w:line="420" w:lineRule="auto"/>
        <w:ind w:right="5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58325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2559pt;width:1.65pt;height:1.65pt;mso-position-horizontal-relative:page;mso-position-vertical-relative:paragraph;z-index:15733760" id="docshape1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316691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6308pt;width:1.65pt;height:1.65pt;mso-position-horizontal-relative:page;mso-position-vertical-relative:paragraph;z-index:15734272" id="docshape17" coordorigin="1675,499" coordsize="33,33" path="m1696,531l1687,531,1683,530,1676,523,1675,519,1675,511,1676,507,1683,500,1687,499,1696,499,1699,500,1706,507,1707,511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Land Use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62483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9964pt;width:1.65pt;height:1.65pt;mso-position-horizontal-relative:page;mso-position-vertical-relative:paragraph;z-index:15734784" id="docshape1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6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152386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976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application for water quality certification under Section 401 of </w:t>
      </w:r>
      <w:r>
        <w:rPr>
          <w:color w:val="6E6158"/>
        </w:rPr>
        <w:t>the Clean Water Act</w:t>
      </w:r>
    </w:p>
    <w:p>
      <w:pPr>
        <w:pStyle w:val="BodyText"/>
        <w:spacing w:line="292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143126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824pt;width:1.65pt;height:1.65pt;mso-position-horizontal-relative:page;mso-position-vertical-relative:paragraph;z-index:15735808" id="docshape2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working with Army Corps of Engineers to establish a wetlands </w:t>
      </w:r>
      <w:r>
        <w:rPr>
          <w:color w:val="6E6158"/>
        </w:rPr>
        <w:t>mitigation</w:t>
      </w:r>
      <w:r>
        <w:rPr>
          <w:color w:val="6E6158"/>
          <w:spacing w:val="40"/>
        </w:rPr>
        <w:t> </w:t>
      </w:r>
      <w:r>
        <w:rPr>
          <w:color w:val="6E6158"/>
        </w:rPr>
        <w:t>bank, including preparing requisite agreements</w:t>
      </w:r>
    </w:p>
    <w:p>
      <w:pPr>
        <w:pStyle w:val="BodyText"/>
        <w:spacing w:line="292" w:lineRule="auto" w:before="123"/>
        <w:ind w:right="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137589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797pt;width:1.65pt;height:1.65pt;mso-position-horizontal-relative:page;mso-position-vertical-relative:paragraph;z-index:15736320" id="docshape2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public and private sector clients regarding compliance with the Ralph M. Brown</w:t>
      </w:r>
      <w:r>
        <w:rPr>
          <w:color w:val="6E6158"/>
          <w:spacing w:val="40"/>
        </w:rPr>
        <w:t> </w:t>
      </w:r>
      <w:r>
        <w:rPr>
          <w:color w:val="6E6158"/>
        </w:rPr>
        <w:t>Act open meeting law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142934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646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public agencies in defending claims subject to the Government Claims Act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prosecuting claims for breach of contract</w:t>
      </w:r>
    </w:p>
    <w:p>
      <w:pPr>
        <w:pStyle w:val="BodyText"/>
        <w:spacing w:line="292" w:lineRule="auto" w:before="124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138031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619pt;width:1.65pt;height:1.65pt;mso-position-horizontal-relative:page;mso-position-vertical-relative:paragraph;z-index:15737344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wholesaler in claim for breach of requirements contract, including </w:t>
      </w:r>
      <w:r>
        <w:rPr>
          <w:color w:val="6E6158"/>
        </w:rPr>
        <w:t>the enforceability of a liquidated damages provision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142741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468pt;width:1.65pt;height:1.65pt;mso-position-horizontal-relative:page;mso-position-vertical-relative:paragraph;z-index:15737856" id="docshape2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beneficiary with respect to trust claims, including issues of undue influence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applicability of a no-contest clause</w:t>
      </w:r>
    </w:p>
    <w:p>
      <w:pPr>
        <w:pStyle w:val="BodyText"/>
        <w:spacing w:line="297" w:lineRule="auto" w:before="123"/>
        <w:ind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137838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441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landowner in CEQA action challenging the county’s approval of Specific </w:t>
      </w:r>
      <w:r>
        <w:rPr>
          <w:color w:val="6E6158"/>
        </w:rPr>
        <w:t>Plan</w:t>
      </w:r>
      <w:r>
        <w:rPr>
          <w:color w:val="6E6158"/>
          <w:spacing w:val="40"/>
        </w:rPr>
        <w:t> </w:t>
      </w:r>
      <w:r>
        <w:rPr>
          <w:color w:val="6E6158"/>
        </w:rPr>
        <w:t>amendments, the environmental impact report and development agreement for a large</w:t>
      </w:r>
      <w:r>
        <w:rPr>
          <w:color w:val="6E6158"/>
          <w:spacing w:val="40"/>
        </w:rPr>
        <w:t> </w:t>
      </w:r>
      <w:r>
        <w:rPr>
          <w:color w:val="6E6158"/>
        </w:rPr>
        <w:t>commercial and residential project on neighboring property</w:t>
      </w:r>
    </w:p>
    <w:p>
      <w:pPr>
        <w:pStyle w:val="BodyText"/>
        <w:spacing w:line="292" w:lineRule="auto" w:before="118"/>
        <w:ind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134694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5851pt;width:1.65pt;height:1.65pt;mso-position-horizontal-relative:page;mso-position-vertical-relative:paragraph;z-index:15738880" id="docshape26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party in interest and worked with city to defend city’s reliance on CEQA</w:t>
      </w:r>
      <w:r>
        <w:rPr>
          <w:color w:val="6E6158"/>
          <w:spacing w:val="40"/>
        </w:rPr>
        <w:t> </w:t>
      </w:r>
      <w:r>
        <w:rPr>
          <w:color w:val="6E6158"/>
        </w:rPr>
        <w:t>exemptions in approving a mixed-use, transit oriented infill development project</w:t>
      </w:r>
    </w:p>
    <w:p>
      <w:pPr>
        <w:pStyle w:val="BodyText"/>
        <w:spacing w:line="292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143214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699pt;width:1.65pt;height:1.65pt;mso-position-horizontal-relative:page;mso-position-vertical-relative:paragraph;z-index:15739392" id="docshape2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developer and worked with city in the preparation and approval of a </w:t>
      </w:r>
      <w:r>
        <w:rPr>
          <w:color w:val="6E6158"/>
        </w:rPr>
        <w:t>joint EIS/EIR for a large residential and commercial development project on real property transferred pursuant to the Defense Base Realignment and Closure Act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138062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097pt;width:1.65pt;height:1.65pt;mso-position-horizontal-relative:page;mso-position-vertical-relative:paragraph;z-index:1573990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owners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secured</w:t>
      </w:r>
      <w:r>
        <w:rPr>
          <w:color w:val="6E6158"/>
          <w:spacing w:val="15"/>
        </w:rPr>
        <w:t> </w:t>
      </w:r>
      <w:r>
        <w:rPr>
          <w:color w:val="6E6158"/>
        </w:rPr>
        <w:t>transactions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foreclosure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disputes</w:t>
      </w:r>
    </w:p>
    <w:p>
      <w:pPr>
        <w:pStyle w:val="BodyText"/>
        <w:spacing w:line="292" w:lineRule="auto" w:before="18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174930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016pt;width:1.65pt;height:1.65pt;mso-position-horizontal-relative:page;mso-position-vertical-relative:paragraph;z-index:15740416" id="docshape2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dispute involving the State’s claim that real property was subject to the</w:t>
      </w:r>
      <w:r>
        <w:rPr>
          <w:color w:val="6E6158"/>
          <w:spacing w:val="40"/>
        </w:rPr>
        <w:t> </w:t>
      </w:r>
      <w:r>
        <w:rPr>
          <w:color w:val="6E6158"/>
        </w:rPr>
        <w:t>public trust</w:t>
      </w:r>
    </w:p>
    <w:p>
      <w:pPr>
        <w:spacing w:before="186"/>
        <w:ind w:left="104" w:right="0" w:firstLine="0"/>
        <w:jc w:val="left"/>
        <w:rPr>
          <w:b/>
          <w:sz w:val="16"/>
        </w:rPr>
      </w:pPr>
      <w:r>
        <w:rPr>
          <w:b/>
          <w:color w:val="6E6158"/>
          <w:sz w:val="16"/>
        </w:rPr>
        <w:t>Representative</w:t>
      </w:r>
      <w:r>
        <w:rPr>
          <w:b/>
          <w:color w:val="6E6158"/>
          <w:spacing w:val="-1"/>
          <w:sz w:val="16"/>
        </w:rPr>
        <w:t> </w:t>
      </w:r>
      <w:r>
        <w:rPr>
          <w:b/>
          <w:color w:val="6E6158"/>
          <w:sz w:val="16"/>
        </w:rPr>
        <w:t>Appellate</w:t>
      </w:r>
      <w:r>
        <w:rPr>
          <w:b/>
          <w:color w:val="6E6158"/>
          <w:spacing w:val="-1"/>
          <w:sz w:val="16"/>
        </w:rPr>
        <w:t> </w:t>
      </w:r>
      <w:r>
        <w:rPr>
          <w:b/>
          <w:color w:val="6E6158"/>
          <w:spacing w:val="-2"/>
          <w:sz w:val="16"/>
        </w:rPr>
        <w:t>Decisions</w:t>
      </w:r>
    </w:p>
    <w:p>
      <w:pPr>
        <w:pStyle w:val="BodyText"/>
        <w:spacing w:line="297" w:lineRule="auto" w:before="121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142994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395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Sandy v. Superior Court </w:t>
      </w:r>
      <w:r>
        <w:rPr>
          <w:color w:val="6E6158"/>
        </w:rPr>
        <w:t>(1988) 201 Cal.App.3d 1277, which concerned interpretation of </w:t>
      </w:r>
      <w:r>
        <w:rPr>
          <w:color w:val="6E6158"/>
        </w:rPr>
        <w:t>a statute</w:t>
      </w:r>
      <w:r>
        <w:rPr>
          <w:color w:val="6E6158"/>
          <w:spacing w:val="36"/>
        </w:rPr>
        <w:t> </w:t>
      </w:r>
      <w:r>
        <w:rPr>
          <w:color w:val="6E6158"/>
        </w:rPr>
        <w:t>establishing</w:t>
      </w:r>
      <w:r>
        <w:rPr>
          <w:color w:val="6E6158"/>
          <w:spacing w:val="36"/>
        </w:rPr>
        <w:t> </w:t>
      </w:r>
      <w:r>
        <w:rPr>
          <w:color w:val="6E6158"/>
        </w:rPr>
        <w:t>a</w:t>
      </w:r>
      <w:r>
        <w:rPr>
          <w:color w:val="6E6158"/>
          <w:spacing w:val="36"/>
        </w:rPr>
        <w:t> </w:t>
      </w:r>
      <w:r>
        <w:rPr>
          <w:color w:val="6E6158"/>
        </w:rPr>
        <w:t>ten-year</w:t>
      </w:r>
      <w:r>
        <w:rPr>
          <w:color w:val="6E6158"/>
          <w:spacing w:val="36"/>
        </w:rPr>
        <w:t> </w:t>
      </w:r>
      <w:r>
        <w:rPr>
          <w:color w:val="6E6158"/>
        </w:rPr>
        <w:t>statute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limitations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latent</w:t>
      </w:r>
      <w:r>
        <w:rPr>
          <w:color w:val="6E6158"/>
          <w:spacing w:val="36"/>
        </w:rPr>
        <w:t> </w:t>
      </w:r>
      <w:r>
        <w:rPr>
          <w:color w:val="6E6158"/>
        </w:rPr>
        <w:t>construction</w:t>
      </w:r>
      <w:r>
        <w:rPr>
          <w:color w:val="6E6158"/>
          <w:spacing w:val="36"/>
        </w:rPr>
        <w:t> </w:t>
      </w:r>
      <w:r>
        <w:rPr>
          <w:color w:val="6E6158"/>
        </w:rPr>
        <w:t>defects.</w:t>
      </w:r>
    </w:p>
    <w:p>
      <w:pPr>
        <w:spacing w:line="290" w:lineRule="auto" w:before="107"/>
        <w:ind w:left="356" w:right="3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134037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4169pt;width:1.65pt;height:1.65pt;mso-position-horizontal-relative:page;mso-position-vertical-relative:paragraph;z-index:15741440" id="docshape31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Resources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Office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Administrative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(1993)12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Cal.App.4th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697, which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involved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issue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whether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certain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regulations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had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been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adopted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1"/>
          <w:sz w:val="19"/>
        </w:rPr>
        <w:t> </w:t>
      </w:r>
      <w:r>
        <w:rPr>
          <w:color w:val="6E6158"/>
          <w:sz w:val="19"/>
        </w:rPr>
        <w:t>compliance with California’s Administrative Procedures Act.</w:t>
      </w:r>
    </w:p>
    <w:p>
      <w:pPr>
        <w:pStyle w:val="BodyText"/>
        <w:spacing w:line="288" w:lineRule="auto" w:before="124"/>
        <w:ind w:right="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144946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13097pt;width:1.65pt;height:1.65pt;mso-position-horizontal-relative:page;mso-position-vertical-relative:paragraph;z-index:15741952" id="docshape32" coordorigin="1675,228" coordsize="33,33" path="m1696,261l1687,261,1683,259,1676,253,1675,249,1675,240,1676,236,1683,230,1687,228,1696,228,1699,230,1706,236,1707,240,1707,245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Greenwich S.F., LLC v. Wong </w:t>
      </w:r>
      <w:r>
        <w:rPr>
          <w:color w:val="6E6158"/>
        </w:rPr>
        <w:t>(2010) 190 Cal.App.4th 739, which involved the issue of whether lost</w:t>
      </w:r>
      <w:r>
        <w:rPr>
          <w:color w:val="6E6158"/>
          <w:spacing w:val="18"/>
        </w:rPr>
        <w:t> </w:t>
      </w:r>
      <w:r>
        <w:rPr>
          <w:color w:val="6E6158"/>
        </w:rPr>
        <w:t>profits</w:t>
      </w:r>
      <w:r>
        <w:rPr>
          <w:color w:val="6E6158"/>
          <w:spacing w:val="18"/>
        </w:rPr>
        <w:t> </w:t>
      </w:r>
      <w:r>
        <w:rPr>
          <w:color w:val="6E6158"/>
        </w:rPr>
        <w:t>were</w:t>
      </w:r>
      <w:r>
        <w:rPr>
          <w:color w:val="6E6158"/>
          <w:spacing w:val="18"/>
        </w:rPr>
        <w:t> </w:t>
      </w:r>
      <w:r>
        <w:rPr>
          <w:color w:val="6E6158"/>
        </w:rPr>
        <w:t>properly</w:t>
      </w:r>
      <w:r>
        <w:rPr>
          <w:color w:val="6E6158"/>
          <w:spacing w:val="18"/>
        </w:rPr>
        <w:t> </w:t>
      </w:r>
      <w:r>
        <w:rPr>
          <w:color w:val="6E6158"/>
        </w:rPr>
        <w:t>awarded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buyer</w:t>
      </w:r>
      <w:r>
        <w:rPr>
          <w:color w:val="6E6158"/>
          <w:spacing w:val="18"/>
        </w:rPr>
        <w:t> </w:t>
      </w:r>
      <w:r>
        <w:rPr>
          <w:color w:val="6E6158"/>
        </w:rPr>
        <w:t>after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seller</w:t>
      </w:r>
      <w:r>
        <w:rPr>
          <w:color w:val="6E6158"/>
          <w:spacing w:val="18"/>
        </w:rPr>
        <w:t> </w:t>
      </w:r>
      <w:r>
        <w:rPr>
          <w:color w:val="6E6158"/>
        </w:rPr>
        <w:t>breached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real</w:t>
      </w:r>
      <w:r>
        <w:rPr>
          <w:color w:val="6E6158"/>
          <w:spacing w:val="18"/>
        </w:rPr>
        <w:t> </w:t>
      </w:r>
      <w:r>
        <w:rPr>
          <w:color w:val="6E6158"/>
        </w:rPr>
        <w:t>property</w:t>
      </w:r>
      <w:r>
        <w:rPr>
          <w:color w:val="6E6158"/>
          <w:spacing w:val="18"/>
        </w:rPr>
        <w:t> </w:t>
      </w:r>
      <w:r>
        <w:rPr>
          <w:color w:val="6E6158"/>
        </w:rPr>
        <w:t>sales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>
          <w:color w:val="6E6158"/>
          <w:spacing w:val="-2"/>
        </w:rPr>
        <w:t>agreement.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46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2464" id="docshape3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92pt;width:1.65pt;height:1.65pt;mso-position-horizontal-relative:page;mso-position-vertical-relative:paragraph;z-index:15742976" id="docshape3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 Member, American Water Resources </w:t>
      </w:r>
      <w:r>
        <w:rPr>
          <w:color w:val="6E6158"/>
        </w:rPr>
        <w:t>Association</w:t>
      </w:r>
    </w:p>
    <w:p>
      <w:pPr>
        <w:pStyle w:val="Heading1"/>
        <w:spacing w:before="154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152606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68pt;width:1.65pt;height:1.65pt;mso-position-horizontal-relative:page;mso-position-vertical-relative:paragraph;z-index:15743488" id="docshape3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0"/>
      <w:ind w:left="104"/>
      <w:outlineLvl w:val="2"/>
    </w:pPr>
    <w:rPr>
      <w:rFonts w:ascii="Century Gothic" w:hAnsi="Century Gothic" w:eastAsia="Century Gothic" w:cs="Century Gothic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rdunawa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2025-01-02T06:35:39Z</dcterms:created>
  <dcterms:modified xsi:type="dcterms:W3CDTF">2025-01-02T06:35:39Z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