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ANGELA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HAN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ANGELA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HAN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ANGELA</w:t>
      </w:r>
      <w:r>
        <w:rPr>
          <w:color w:val="FF8100"/>
          <w:spacing w:val="10"/>
        </w:rPr>
        <w:t> </w:t>
      </w:r>
      <w:r>
        <w:rPr>
          <w:color w:val="FF8100"/>
          <w:spacing w:val="-5"/>
        </w:rPr>
        <w:t>HAN</w:t>
      </w:r>
    </w:p>
    <w:p>
      <w:pPr>
        <w:pStyle w:val="BodyText"/>
        <w:spacing w:line="295" w:lineRule="auto"/>
        <w:ind w:left="104" w:right="584"/>
      </w:pPr>
      <w:r>
        <w:rPr>
          <w:color w:val="6E6158"/>
        </w:rPr>
        <w:t>As a member of the firm’s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group, Angela assists clients with their most</w:t>
      </w:r>
      <w:r>
        <w:rPr>
          <w:color w:val="6E6158"/>
          <w:spacing w:val="40"/>
        </w:rPr>
        <w:t> </w:t>
      </w:r>
      <w:r>
        <w:rPr>
          <w:color w:val="6E6158"/>
        </w:rPr>
        <w:t>challenging commercial litigation disputes from pre-litigation case assessment to resolution. She</w:t>
      </w:r>
      <w:r>
        <w:rPr>
          <w:color w:val="6E6158"/>
          <w:spacing w:val="40"/>
        </w:rPr>
        <w:t> </w:t>
      </w:r>
      <w:r>
        <w:rPr>
          <w:color w:val="6E6158"/>
        </w:rPr>
        <w:t>has experience defending a broad range of civil matters, including product liability, mass torts,</w:t>
      </w:r>
      <w:r>
        <w:rPr>
          <w:color w:val="6E6158"/>
          <w:spacing w:val="40"/>
        </w:rPr>
        <w:t> </w:t>
      </w:r>
      <w:r>
        <w:rPr>
          <w:color w:val="6E6158"/>
        </w:rPr>
        <w:t>class actions, complex business and contract disputes, unfair competition, personal injury,</w:t>
      </w:r>
      <w:r>
        <w:rPr>
          <w:color w:val="6E6158"/>
          <w:spacing w:val="40"/>
        </w:rPr>
        <w:t> </w:t>
      </w:r>
      <w:r>
        <w:rPr>
          <w:color w:val="6E6158"/>
        </w:rPr>
        <w:t>premises liability, and more. In addition, Angela has experienced advising product</w:t>
      </w:r>
      <w:r>
        <w:rPr>
          <w:color w:val="6E6158"/>
          <w:spacing w:val="80"/>
        </w:rPr>
        <w:t> </w:t>
      </w:r>
      <w:r>
        <w:rPr>
          <w:color w:val="6E6158"/>
        </w:rPr>
        <w:t>manufacturers, retailers, and distributors on risk management, both state and federal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 issues, and related litigation. Angela is adept in all litigation phases, including case</w:t>
      </w:r>
      <w:r>
        <w:rPr>
          <w:color w:val="6E6158"/>
          <w:spacing w:val="40"/>
        </w:rPr>
        <w:t> </w:t>
      </w:r>
      <w:r>
        <w:rPr>
          <w:color w:val="6E6158"/>
        </w:rPr>
        <w:t>assessment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early</w:t>
      </w:r>
      <w:r>
        <w:rPr>
          <w:color w:val="6E6158"/>
          <w:spacing w:val="40"/>
        </w:rPr>
        <w:t> </w:t>
      </w:r>
      <w:r>
        <w:rPr>
          <w:color w:val="6E6158"/>
        </w:rPr>
        <w:t>strategy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pleadings,</w:t>
      </w:r>
      <w:r>
        <w:rPr>
          <w:color w:val="6E6158"/>
          <w:spacing w:val="40"/>
        </w:rPr>
        <w:t> </w:t>
      </w:r>
      <w:r>
        <w:rPr>
          <w:color w:val="6E6158"/>
        </w:rPr>
        <w:t>discovery,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dispositive</w:t>
      </w:r>
      <w:r>
        <w:rPr>
          <w:color w:val="6E6158"/>
          <w:spacing w:val="40"/>
        </w:rPr>
        <w:t> </w:t>
      </w:r>
      <w:r>
        <w:rPr>
          <w:color w:val="6E6158"/>
        </w:rPr>
        <w:t>motions.</w:t>
      </w:r>
    </w:p>
    <w:p>
      <w:pPr>
        <w:pStyle w:val="BodyText"/>
        <w:spacing w:line="292" w:lineRule="auto" w:before="206"/>
        <w:ind w:left="104" w:right="474"/>
      </w:pPr>
      <w:r>
        <w:rPr>
          <w:color w:val="6E6158"/>
        </w:rPr>
        <w:t>Prior to joining the firm, Angela worked as a litigation and dispute resolution associate in the San</w:t>
      </w:r>
      <w:r>
        <w:rPr>
          <w:color w:val="6E6158"/>
          <w:spacing w:val="40"/>
        </w:rPr>
        <w:t> </w:t>
      </w:r>
      <w:r>
        <w:rPr>
          <w:color w:val="6E6158"/>
        </w:rPr>
        <w:t>Francisco Bay Area. During law school, she served as a judicial extern for the Honorable Judge</w:t>
      </w:r>
      <w:r>
        <w:rPr>
          <w:color w:val="6E6158"/>
          <w:spacing w:val="40"/>
        </w:rPr>
        <w:t> </w:t>
      </w:r>
      <w:r>
        <w:rPr>
          <w:color w:val="6E6158"/>
        </w:rPr>
        <w:t>William H. Orrick, United States District Court, Northern District of California.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Davis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51"/>
        <w:ind w:left="853" w:right="2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391874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856249pt;width:1.65pt;height:1.65pt;mso-position-horizontal-relative:page;mso-position-vertical-relative:paragraph;z-index:15729152" id="docshape7" coordorigin="1675,617" coordsize="33,33" path="m1696,650l1687,650,1683,648,1676,642,1675,638,1675,629,1676,625,1683,619,1687,617,1696,617,1699,619,1706,625,1707,629,1707,633,1707,638,1706,642,1699,648,16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92170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257482pt;width:1.65pt;height:1.65pt;mso-position-horizontal-relative:page;mso-position-vertical-relative:paragraph;z-index:15729664" id="docshape8" coordorigin="2171,145" coordsize="33,33" path="m2192,178l2183,178,2179,176,2173,170,2171,166,2171,157,2173,153,2179,147,2183,145,2192,145,2196,147,2202,153,2204,157,2204,161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355703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08121pt;width:1.65pt;height:1.65pt;mso-position-horizontal-relative:page;mso-position-vertical-relative:paragraph;z-index:15730176" id="docshape9" coordorigin="2171,560" coordsize="33,33" path="m2192,593l2183,593,2179,591,2173,585,2171,581,2171,572,2173,568,2179,562,2183,560,2192,560,2196,562,2202,568,2204,572,2204,576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Award, Academic Excellence in Legal Research and </w:t>
      </w:r>
      <w:r>
        <w:rPr>
          <w:color w:val="6E6158"/>
        </w:rPr>
        <w:t>Writing Senior Editor, U.C. Davis Law Review</w:t>
      </w:r>
    </w:p>
    <w:p>
      <w:pPr>
        <w:pStyle w:val="BodyText"/>
        <w:spacing w:line="231" w:lineRule="exact" w:before="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63943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34897pt;width:1.65pt;height:1.65pt;mso-position-horizontal-relative:page;mso-position-vertical-relative:paragraph;z-index:15730688" id="docshape10" coordorigin="2171,101" coordsize="33,33" path="m2192,133l2183,133,2179,132,2173,125,2171,121,2171,112,2173,109,2179,102,2183,101,2192,101,2196,102,2202,109,2204,112,2204,117,2204,121,2202,125,2196,132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Staff</w:t>
      </w:r>
      <w:r>
        <w:rPr>
          <w:color w:val="6E6158"/>
          <w:spacing w:val="7"/>
        </w:rPr>
        <w:t> </w:t>
      </w:r>
      <w:r>
        <w:rPr>
          <w:color w:val="6E6158"/>
        </w:rPr>
        <w:t>Editor,</w:t>
      </w:r>
      <w:r>
        <w:rPr>
          <w:color w:val="6E6158"/>
          <w:spacing w:val="7"/>
        </w:rPr>
        <w:t> </w:t>
      </w:r>
      <w:r>
        <w:rPr>
          <w:color w:val="6E6158"/>
        </w:rPr>
        <w:t>U.C.</w:t>
      </w:r>
      <w:r>
        <w:rPr>
          <w:color w:val="6E6158"/>
          <w:spacing w:val="7"/>
        </w:rPr>
        <w:t> </w:t>
      </w:r>
      <w:r>
        <w:rPr>
          <w:color w:val="6E6158"/>
        </w:rPr>
        <w:t>Davis</w:t>
      </w:r>
      <w:r>
        <w:rPr>
          <w:color w:val="6E6158"/>
          <w:spacing w:val="8"/>
        </w:rPr>
        <w:t> </w:t>
      </w:r>
      <w:r>
        <w:rPr>
          <w:color w:val="6E6158"/>
        </w:rPr>
        <w:t>Business</w:t>
      </w:r>
      <w:r>
        <w:rPr>
          <w:color w:val="6E6158"/>
          <w:spacing w:val="7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line="420" w:lineRule="auto" w:before="182"/>
        <w:ind w:right="3553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175392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810403pt;width:1.65pt;height:1.65pt;mso-position-horizontal-relative:page;mso-position-vertical-relative:paragraph;z-index:15731200" id="docshape11" coordorigin="2171,276" coordsize="33,33" path="m2192,309l2183,309,2179,307,2173,301,2171,297,2171,288,2173,284,2179,278,2183,276,2192,276,2196,278,2202,284,2204,288,2204,292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433757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171pt;width:1.65pt;height:1.65pt;mso-position-horizontal-relative:page;mso-position-vertical-relative:paragraph;z-index:15731712" id="docshape12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Korean American Law Students Association, </w:t>
      </w:r>
      <w:r>
        <w:rPr>
          <w:color w:val="6E6158"/>
        </w:rPr>
        <w:t>President B.A., University of Washington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69pt;width:1.65pt;height:1.65pt;mso-position-horizontal-relative:page;mso-position-vertical-relative:paragraph;z-index:15732224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416273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412pt;width:1.65pt;height:1.65pt;mso-position-horizontal-relative:page;mso-position-vertical-relative:paragraph;z-index:15732736" id="docshape14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right="4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152400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64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415933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679pt;width:1.65pt;height:1.65pt;mso-position-horizontal-relative:page;mso-position-vertical-relative:paragraph;z-index:15733760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Lawyers Association, Wiley W. Manuel Pro Bono Legal Services Award (2023) Leadership Council on Legal Diversity, Pathfinders (2022)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4272" id="docshape1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34784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174996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15pt;width:1.65pt;height:1.65pt;mso-position-horizontal-relative:page;mso-position-vertical-relative:paragraph;z-index:15735296" id="docshape1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Northern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135pt;width:1.65pt;height:1.65pt;mso-position-horizontal-relative:page;mso-position-vertical-relative:paragraph;z-index:15735808" id="docshape2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Central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h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2025-02-04T16:30:20Z</dcterms:created>
  <dcterms:modified xsi:type="dcterms:W3CDTF">2025-02-04T16:30:20Z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ConvertAPI</vt:lpwstr>
  </property>
</Properties>
</file>