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ARISH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GILL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559.446.3204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agill@fennemorelaw.com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ARISH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GILL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559.446.3204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agill@fennemorelaw.com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ARISH</w:t>
      </w:r>
      <w:r>
        <w:rPr>
          <w:color w:val="FF8100"/>
          <w:spacing w:val="7"/>
        </w:rPr>
        <w:t> </w:t>
      </w:r>
      <w:r>
        <w:rPr>
          <w:color w:val="FF8100"/>
          <w:spacing w:val="-4"/>
        </w:rPr>
        <w:t>GILL</w:t>
      </w:r>
    </w:p>
    <w:p>
      <w:pPr>
        <w:pStyle w:val="BodyText"/>
        <w:spacing w:before="147"/>
        <w:ind w:left="104"/>
      </w:pPr>
      <w:r>
        <w:rPr>
          <w:color w:val="6E6158"/>
        </w:rPr>
        <w:t>Arish</w:t>
      </w:r>
      <w:r>
        <w:rPr>
          <w:color w:val="6E6158"/>
          <w:spacing w:val="10"/>
        </w:rPr>
        <w:t> </w:t>
      </w:r>
      <w:r>
        <w:rPr>
          <w:color w:val="6E6158"/>
        </w:rPr>
        <w:t>Gill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associate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Fresno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focusing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mergers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acquisitions,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line="292" w:lineRule="auto" w:before="60"/>
        <w:ind w:left="104" w:right="615"/>
      </w:pPr>
      <w:r>
        <w:rPr>
          <w:color w:val="6E6158"/>
        </w:rPr>
        <w:t>transactions, estate planning, and related tax matters.</w:t>
      </w:r>
      <w:r>
        <w:rPr>
          <w:color w:val="6E6158"/>
          <w:spacing w:val="80"/>
        </w:rPr>
        <w:t> </w:t>
      </w:r>
      <w:r>
        <w:rPr>
          <w:color w:val="6E6158"/>
        </w:rPr>
        <w:t>His work includes advising, </w:t>
      </w:r>
      <w:r>
        <w:rPr>
          <w:color w:val="6E6158"/>
        </w:rPr>
        <w:t>negotiating, and</w:t>
      </w:r>
      <w:r>
        <w:rPr>
          <w:color w:val="6E6158"/>
          <w:spacing w:val="26"/>
        </w:rPr>
        <w:t> </w:t>
      </w:r>
      <w:r>
        <w:rPr>
          <w:color w:val="6E6158"/>
        </w:rPr>
        <w:t>closing</w:t>
      </w:r>
      <w:r>
        <w:rPr>
          <w:color w:val="6E6158"/>
          <w:spacing w:val="26"/>
        </w:rPr>
        <w:t> </w:t>
      </w:r>
      <w:r>
        <w:rPr>
          <w:color w:val="6E6158"/>
        </w:rPr>
        <w:t>transactions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behalf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both</w:t>
      </w:r>
      <w:r>
        <w:rPr>
          <w:color w:val="6E6158"/>
          <w:spacing w:val="26"/>
        </w:rPr>
        <w:t> </w:t>
      </w:r>
      <w:r>
        <w:rPr>
          <w:color w:val="6E6158"/>
        </w:rPr>
        <w:t>buyers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sellers</w:t>
      </w:r>
      <w:r>
        <w:rPr>
          <w:color w:val="6E6158"/>
          <w:spacing w:val="26"/>
        </w:rPr>
        <w:t> </w:t>
      </w:r>
      <w:r>
        <w:rPr>
          <w:color w:val="6E6158"/>
        </w:rPr>
        <w:t>across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variety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</w:p>
    <w:p>
      <w:pPr>
        <w:pStyle w:val="BodyText"/>
        <w:spacing w:line="295" w:lineRule="auto" w:before="1"/>
        <w:ind w:left="104" w:right="615"/>
      </w:pPr>
      <w:r>
        <w:rPr>
          <w:color w:val="6E6158"/>
        </w:rPr>
        <w:t>transactions. In addition, Arish provides support to new business ventures in matters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and structure, as well as to established businesses with reorganizations,</w:t>
      </w:r>
      <w:r>
        <w:rPr>
          <w:color w:val="6E6158"/>
          <w:spacing w:val="40"/>
        </w:rPr>
        <w:t> </w:t>
      </w:r>
      <w:r>
        <w:rPr>
          <w:color w:val="6E6158"/>
        </w:rPr>
        <w:t>mergers and acquisitions, and capital market transactions.</w:t>
      </w:r>
      <w:r>
        <w:rPr>
          <w:color w:val="6E6158"/>
          <w:spacing w:val="80"/>
        </w:rPr>
        <w:t> </w:t>
      </w:r>
      <w:r>
        <w:rPr>
          <w:color w:val="6E6158"/>
        </w:rPr>
        <w:t>Arish’s experience also extends to estate planning services, ensuring asset protection and legacy preservation.</w:t>
      </w:r>
    </w:p>
    <w:p>
      <w:pPr>
        <w:pStyle w:val="BodyText"/>
        <w:spacing w:line="302" w:lineRule="auto" w:before="1"/>
        <w:ind w:left="104" w:right="615"/>
      </w:pPr>
      <w:r>
        <w:rPr>
          <w:color w:val="6E6158"/>
        </w:rPr>
        <w:t>Outside of work, Arish spends his time playing basketball, golfing, snowboarding – and cheering</w:t>
      </w:r>
      <w:r>
        <w:rPr>
          <w:color w:val="6E6158"/>
          <w:spacing w:val="40"/>
        </w:rPr>
        <w:t> </w:t>
      </w:r>
      <w:r>
        <w:rPr>
          <w:color w:val="6E6158"/>
        </w:rPr>
        <w:t>for the San Francisco 49ers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157928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281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4"/>
        </w:rPr>
        <w:t> </w:t>
      </w:r>
      <w:r>
        <w:rPr>
          <w:color w:val="6E6158"/>
        </w:rPr>
        <w:t>Pepperdine</w:t>
      </w:r>
      <w:r>
        <w:rPr>
          <w:color w:val="6E6158"/>
          <w:spacing w:val="15"/>
        </w:rPr>
        <w:t> </w:t>
      </w:r>
      <w:r>
        <w:rPr>
          <w:color w:val="6E6158"/>
        </w:rPr>
        <w:t>Caruso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175022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319pt;width:1.65pt;height:1.65pt;mso-position-horizontal-relative:page;mso-position-vertical-relative:paragraph;z-index:15729664" id="docshape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152531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366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410897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4111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674430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4748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Business &amp; </w:t>
      </w:r>
      <w:r>
        <w:rPr>
          <w:color w:val="6E6158"/>
        </w:rPr>
        <w:t>Finance Tax Law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63475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040pt;width:1.65pt;height:1.65pt;mso-position-horizontal-relative:page;mso-position-vertical-relative:paragraph;z-index:15731712" id="docshape1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right="10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152352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226pt;width:1.65pt;height:1.65pt;mso-position-horizontal-relative:page;mso-position-vertical-relative:paragraph;z-index:15732224" id="docshape13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415885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6864pt;width:1.65pt;height:1.65pt;mso-position-horizontal-relative:page;mso-position-vertical-relative:paragraph;z-index:15732736" id="docshape14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 in Federal Income Taxation of Business Entities, Pepperdine Caruso Law Caruso Scholars Award, Pepperdine Caruso Law</w:t>
      </w:r>
    </w:p>
    <w:p>
      <w:pPr>
        <w:pStyle w:val="Heading1"/>
        <w:spacing w:before="160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157727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493pt;width:1.65pt;height:1.65pt;mso-position-horizontal-relative:page;mso-position-vertical-relative:paragraph;z-index:15733248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760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Punjabi,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Conversational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9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agi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2025-02-10T22:26:28Z</dcterms:created>
  <dcterms:modified xsi:type="dcterms:W3CDTF">2025-02-10T22:26:28Z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ConvertAPI</vt:lpwstr>
  </property>
</Properties>
</file>