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4905" y="763308"/>
                            <a:ext cx="1663064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CLAIRE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MACCOLLUM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90268" y="2500373"/>
                            <a:ext cx="17322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cmaccollum@fennemorelaw.com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7;top:1762;width:2619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CLAIRE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MACCOLLUM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602.916.5402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152;top:4497;width:272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cmaccollum@fennemorelaw.com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CLAIRE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MACCOLLUM</w:t>
      </w:r>
    </w:p>
    <w:p>
      <w:pPr>
        <w:pStyle w:val="BodyText"/>
        <w:spacing w:line="295" w:lineRule="auto" w:before="146"/>
        <w:ind w:left="104" w:right="364"/>
      </w:pPr>
      <w:r>
        <w:rPr>
          <w:color w:val="6E6158"/>
        </w:rPr>
        <w:t>Claire A. MacCollum is an associate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group. In her</w:t>
      </w:r>
      <w:r>
        <w:rPr>
          <w:color w:val="6E6158"/>
          <w:spacing w:val="40"/>
        </w:rPr>
        <w:t> </w:t>
      </w:r>
      <w:r>
        <w:rPr>
          <w:color w:val="6E6158"/>
        </w:rPr>
        <w:t>practice, Claire advises clients on complex commercial litigation and employment issues</w:t>
      </w:r>
      <w:r>
        <w:rPr>
          <w:color w:val="6E6158"/>
          <w:spacing w:val="40"/>
        </w:rPr>
        <w:t> </w:t>
      </w:r>
      <w:r>
        <w:rPr>
          <w:color w:val="6E6158"/>
        </w:rPr>
        <w:t>ensuring compliance with federal and state laws, such as the WARN Act. She also has experience</w:t>
      </w:r>
      <w:r>
        <w:rPr>
          <w:color w:val="6E6158"/>
          <w:spacing w:val="25"/>
        </w:rPr>
        <w:t> </w:t>
      </w:r>
      <w:r>
        <w:rPr>
          <w:color w:val="6E6158"/>
        </w:rPr>
        <w:t>negotiating</w:t>
      </w:r>
      <w:r>
        <w:rPr>
          <w:color w:val="6E6158"/>
          <w:spacing w:val="25"/>
        </w:rPr>
        <w:t> </w:t>
      </w:r>
      <w:r>
        <w:rPr>
          <w:color w:val="6E6158"/>
        </w:rPr>
        <w:t>settlement</w:t>
      </w:r>
      <w:r>
        <w:rPr>
          <w:color w:val="6E6158"/>
          <w:spacing w:val="25"/>
        </w:rPr>
        <w:t> </w:t>
      </w:r>
      <w:r>
        <w:rPr>
          <w:color w:val="6E6158"/>
        </w:rPr>
        <w:t>agreements</w:t>
      </w:r>
      <w:r>
        <w:rPr>
          <w:color w:val="6E6158"/>
          <w:spacing w:val="25"/>
        </w:rPr>
        <w:t> </w:t>
      </w:r>
      <w:r>
        <w:rPr>
          <w:color w:val="6E6158"/>
        </w:rPr>
        <w:t>related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employment</w:t>
      </w:r>
      <w:r>
        <w:rPr>
          <w:color w:val="6E6158"/>
          <w:spacing w:val="25"/>
        </w:rPr>
        <w:t> </w:t>
      </w:r>
      <w:r>
        <w:rPr>
          <w:color w:val="6E6158"/>
        </w:rPr>
        <w:t>discrimination</w:t>
      </w:r>
      <w:r>
        <w:rPr>
          <w:color w:val="6E6158"/>
          <w:spacing w:val="25"/>
        </w:rPr>
        <w:t> </w:t>
      </w:r>
      <w:r>
        <w:rPr>
          <w:color w:val="6E6158"/>
        </w:rPr>
        <w:t>claims.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Prior to joining Fennemore, Claire worked as an associate attorney in the Boston area. She also</w:t>
      </w:r>
      <w:r>
        <w:rPr>
          <w:color w:val="6E6158"/>
          <w:spacing w:val="40"/>
        </w:rPr>
        <w:t> </w:t>
      </w:r>
      <w:r>
        <w:rPr>
          <w:color w:val="6E6158"/>
        </w:rPr>
        <w:t>worked as a Housing Unit Legal Intern at Northeast Legal Aid, where she assisted the supervising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preparing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attending</w:t>
      </w:r>
      <w:r>
        <w:rPr>
          <w:color w:val="6E6158"/>
          <w:spacing w:val="32"/>
        </w:rPr>
        <w:t> </w:t>
      </w:r>
      <w:r>
        <w:rPr>
          <w:color w:val="6E6158"/>
        </w:rPr>
        <w:t>client</w:t>
      </w:r>
      <w:r>
        <w:rPr>
          <w:color w:val="6E6158"/>
          <w:spacing w:val="32"/>
        </w:rPr>
        <w:t> </w:t>
      </w:r>
      <w:r>
        <w:rPr>
          <w:color w:val="6E6158"/>
        </w:rPr>
        <w:t>mediation</w:t>
      </w:r>
      <w:r>
        <w:rPr>
          <w:color w:val="6E6158"/>
          <w:spacing w:val="32"/>
        </w:rPr>
        <w:t> </w:t>
      </w:r>
      <w:r>
        <w:rPr>
          <w:color w:val="6E6158"/>
        </w:rPr>
        <w:t>sessions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fault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no-fault</w:t>
      </w:r>
      <w:r>
        <w:rPr>
          <w:color w:val="6E6158"/>
          <w:spacing w:val="32"/>
        </w:rPr>
        <w:t> </w:t>
      </w:r>
      <w:r>
        <w:rPr>
          <w:color w:val="6E6158"/>
        </w:rPr>
        <w:t>eviction</w:t>
      </w:r>
    </w:p>
    <w:p>
      <w:pPr>
        <w:pStyle w:val="BodyText"/>
        <w:spacing w:line="295" w:lineRule="auto"/>
        <w:ind w:left="104" w:right="364"/>
      </w:pPr>
      <w:r>
        <w:rPr>
          <w:color w:val="6E6158"/>
        </w:rPr>
        <w:t>cases, conducted research, and investigated and organized discovery documents related to</w:t>
      </w:r>
      <w:r>
        <w:rPr>
          <w:color w:val="6E6158"/>
          <w:spacing w:val="40"/>
        </w:rPr>
        <w:t> </w:t>
      </w:r>
      <w:r>
        <w:rPr>
          <w:color w:val="6E6158"/>
        </w:rPr>
        <w:t>various housing issues, particularly regarding the CDC eviction moratorium. Additionally, she</w:t>
      </w:r>
      <w:r>
        <w:rPr>
          <w:color w:val="6E6158"/>
          <w:spacing w:val="40"/>
        </w:rPr>
        <w:t> </w:t>
      </w:r>
      <w:r>
        <w:rPr>
          <w:color w:val="6E6158"/>
        </w:rPr>
        <w:t>served as a law clerk for a small Arizona law firm where she gathered and analyzed discovery in</w:t>
      </w:r>
      <w:r>
        <w:rPr>
          <w:color w:val="6E6158"/>
          <w:spacing w:val="40"/>
        </w:rPr>
        <w:t> </w:t>
      </w:r>
      <w:r>
        <w:rPr>
          <w:color w:val="6E6158"/>
        </w:rPr>
        <w:t>civil rights cases.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158130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186pt;width:1.65pt;height:1.65pt;mso-position-horizontal-relative:page;mso-position-vertical-relative:paragraph;z-index:15729152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Boston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175224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225pt;width:1.65pt;height:1.65pt;mso-position-horizontal-relative:page;mso-position-vertical-relative:paragraph;z-index:15729664" id="docshape12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2"/>
          <w:sz w:val="19"/>
        </w:rPr>
        <w:t> Richmond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157735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083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56" w:right="22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158103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082pt;width:1.65pt;height:1.65pt;mso-position-horizontal-relative:page;mso-position-vertical-relative:paragraph;z-index:15730688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828pt;width:1.65pt;height:1.65pt;mso-position-horizontal-relative:page;mso-position-vertical-relative:paragraph;z-index:15731200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Intern, Office of Congressman Ruben Gallego, Washington, </w:t>
      </w:r>
      <w:r>
        <w:rPr>
          <w:color w:val="6E6158"/>
        </w:rPr>
        <w:t>DC Volunteer, Chicanos Por La Causa, Phoenix, AZ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0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157778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487pt;width:1.65pt;height:1.65pt;mso-position-horizontal-relative:page;mso-position-vertical-relative:paragraph;z-index:1573171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416143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231pt;width:1.65pt;height:1.65pt;mso-position-horizontal-relative:page;mso-position-vertical-relative:paragraph;z-index:15732224" id="docshape1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Heading1"/>
        <w:spacing w:before="159"/>
      </w:pPr>
      <w:r>
        <w:rPr>
          <w:color w:val="FF8100"/>
          <w:spacing w:val="-2"/>
        </w:rPr>
        <w:t>LANGUAGES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maccollu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2025-02-17T21:18:07Z</dcterms:created>
  <dcterms:modified xsi:type="dcterms:W3CDTF">2025-02-17T21:18:07Z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ConvertAPI</vt:lpwstr>
  </property>
</Properties>
</file>