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957676" y="763308"/>
                            <a:ext cx="119697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JEFFREY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S.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TACHIKI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31095" y="2133494"/>
                            <a:ext cx="4502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510.622.7571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510.622.7571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33822" y="2500373"/>
                            <a:ext cx="144462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jtachiki@fennemorelaw.com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573;top:1762;width:1885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JEFFREY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S.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TACHIKI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61;top:3919;width:709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510.622.7571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510.622.7571</w:t>
                        </w:r>
                      </w:p>
                    </w:txbxContent>
                  </v:textbox>
                  <w10:wrap type="none"/>
                </v:shape>
                <v:shape style="position:absolute;left:7378;top:4497;width:2275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jtachiki@fennemorelaw.com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21"/>
        <w:ind w:left="0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JEFFREY</w:t>
      </w:r>
      <w:r>
        <w:rPr>
          <w:color w:val="FF8100"/>
          <w:spacing w:val="6"/>
        </w:rPr>
        <w:t> </w:t>
      </w:r>
      <w:r>
        <w:rPr>
          <w:color w:val="FF8100"/>
        </w:rPr>
        <w:t>S.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TACHIKI</w:t>
      </w:r>
    </w:p>
    <w:p>
      <w:pPr>
        <w:pStyle w:val="BodyText"/>
        <w:spacing w:line="295" w:lineRule="auto" w:before="146"/>
        <w:ind w:left="104" w:right="285"/>
      </w:pPr>
      <w:r>
        <w:rPr>
          <w:color w:val="6E6158"/>
        </w:rPr>
        <w:t>Jeff Tachiki is a Director in our </w:t>
      </w:r>
      <w:hyperlink r:id="rId8">
        <w:r>
          <w:rPr>
            <w:color w:val="F5821F"/>
          </w:rPr>
          <w:t>Trusts &amp; Estates</w:t>
        </w:r>
      </w:hyperlink>
      <w:r>
        <w:rPr>
          <w:color w:val="F5821F"/>
        </w:rPr>
        <w:t> </w:t>
      </w:r>
      <w:r>
        <w:rPr>
          <w:color w:val="6E6158"/>
        </w:rPr>
        <w:t>practice group and has nearly two decades of experience guiding clients through the complexities of estate planning, trust administration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probate. He has particular knowledge of California’s nonconforming trust and estate law,</w:t>
      </w:r>
      <w:r>
        <w:rPr>
          <w:color w:val="6E6158"/>
          <w:spacing w:val="40"/>
        </w:rPr>
        <w:t> </w:t>
      </w:r>
      <w:r>
        <w:rPr>
          <w:color w:val="6E6158"/>
        </w:rPr>
        <w:t>specifically the elements relevant to trust and estate administration and property tax, and is a</w:t>
      </w:r>
      <w:r>
        <w:rPr>
          <w:color w:val="6E6158"/>
          <w:spacing w:val="40"/>
        </w:rPr>
        <w:t> </w:t>
      </w:r>
      <w:r>
        <w:rPr>
          <w:color w:val="6E6158"/>
        </w:rPr>
        <w:t>certified</w:t>
      </w:r>
      <w:r>
        <w:rPr>
          <w:color w:val="6E6158"/>
          <w:spacing w:val="27"/>
        </w:rPr>
        <w:t> </w:t>
      </w:r>
      <w:r>
        <w:rPr>
          <w:color w:val="6E6158"/>
        </w:rPr>
        <w:t>specialist</w:t>
      </w:r>
      <w:r>
        <w:rPr>
          <w:color w:val="6E6158"/>
          <w:spacing w:val="27"/>
        </w:rPr>
        <w:t> </w:t>
      </w:r>
      <w:r>
        <w:rPr>
          <w:color w:val="6E6158"/>
        </w:rPr>
        <w:t>with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State</w:t>
      </w:r>
      <w:r>
        <w:rPr>
          <w:color w:val="6E6158"/>
          <w:spacing w:val="27"/>
        </w:rPr>
        <w:t> </w:t>
      </w:r>
      <w:r>
        <w:rPr>
          <w:color w:val="6E6158"/>
        </w:rPr>
        <w:t>Bar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California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Estate</w:t>
      </w:r>
      <w:r>
        <w:rPr>
          <w:color w:val="6E6158"/>
          <w:spacing w:val="27"/>
        </w:rPr>
        <w:t> </w:t>
      </w:r>
      <w:r>
        <w:rPr>
          <w:color w:val="6E6158"/>
        </w:rPr>
        <w:t>Planning,</w:t>
      </w:r>
      <w:r>
        <w:rPr>
          <w:color w:val="6E6158"/>
          <w:spacing w:val="27"/>
        </w:rPr>
        <w:t> </w:t>
      </w:r>
      <w:r>
        <w:rPr>
          <w:color w:val="6E6158"/>
        </w:rPr>
        <w:t>Trust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Probate</w:t>
      </w:r>
      <w:r>
        <w:rPr>
          <w:color w:val="6E6158"/>
          <w:spacing w:val="27"/>
        </w:rPr>
        <w:t> </w:t>
      </w:r>
      <w:r>
        <w:rPr>
          <w:color w:val="6E6158"/>
        </w:rPr>
        <w:t>Law.</w:t>
      </w:r>
    </w:p>
    <w:p>
      <w:pPr>
        <w:pStyle w:val="BodyText"/>
        <w:spacing w:line="295" w:lineRule="auto" w:before="203"/>
        <w:ind w:left="104" w:right="285"/>
      </w:pPr>
      <w:r>
        <w:rPr>
          <w:color w:val="6E6158"/>
        </w:rPr>
        <w:t>In his practice, Jeff counsels estate planning clients of all wealth levels, utilizing various wealth</w:t>
      </w:r>
      <w:r>
        <w:rPr>
          <w:color w:val="6E6158"/>
          <w:spacing w:val="40"/>
        </w:rPr>
        <w:t> </w:t>
      </w:r>
      <w:r>
        <w:rPr>
          <w:color w:val="6E6158"/>
        </w:rPr>
        <w:t>preservation and advanced tax planning strategies to establish plans that meet clients’</w:t>
      </w:r>
      <w:r>
        <w:rPr>
          <w:color w:val="6E6158"/>
          <w:spacing w:val="80"/>
        </w:rPr>
        <w:t> </w:t>
      </w:r>
      <w:r>
        <w:rPr>
          <w:color w:val="6E6158"/>
        </w:rPr>
        <w:t>objectives in a thoughtful and pragmatic way. He also has a broad range of trust administration</w:t>
      </w:r>
      <w:r>
        <w:rPr>
          <w:color w:val="6E6158"/>
          <w:spacing w:val="40"/>
        </w:rPr>
        <w:t> </w:t>
      </w:r>
      <w:r>
        <w:rPr>
          <w:color w:val="6E6158"/>
        </w:rPr>
        <w:t>experience that includes gift and estate tax return preparation, generation-skipping transfer tax</w:t>
      </w:r>
      <w:r>
        <w:rPr>
          <w:color w:val="6E6158"/>
          <w:spacing w:val="40"/>
        </w:rPr>
        <w:t> </w:t>
      </w:r>
      <w:r>
        <w:rPr>
          <w:color w:val="6E6158"/>
        </w:rPr>
        <w:t>and other post-mortem tax planning, modifying and decanting trusts, multi-jurisdictional issues,</w:t>
      </w:r>
      <w:r>
        <w:rPr>
          <w:color w:val="6E6158"/>
          <w:spacing w:val="40"/>
        </w:rPr>
        <w:t> </w:t>
      </w:r>
      <w:r>
        <w:rPr>
          <w:color w:val="6E6158"/>
        </w:rPr>
        <w:t>and advising trustees and beneficiaries in disputed matters.</w:t>
      </w:r>
    </w:p>
    <w:p>
      <w:pPr>
        <w:pStyle w:val="BodyText"/>
        <w:spacing w:line="292" w:lineRule="auto" w:before="193"/>
        <w:ind w:left="104"/>
      </w:pPr>
      <w:r>
        <w:rPr>
          <w:color w:val="6E6158"/>
        </w:rPr>
        <w:t>A frequent speaker on a variety of trust and estate planning topics, Jeff has been selected as a</w:t>
      </w:r>
      <w:r>
        <w:rPr>
          <w:color w:val="6E6158"/>
          <w:spacing w:val="40"/>
        </w:rPr>
        <w:t> </w:t>
      </w:r>
      <w:r>
        <w:rPr>
          <w:color w:val="6E6158"/>
        </w:rPr>
        <w:t>Northern</w:t>
      </w:r>
      <w:r>
        <w:rPr>
          <w:color w:val="6E6158"/>
          <w:spacing w:val="22"/>
        </w:rPr>
        <w:t> </w:t>
      </w:r>
      <w:r>
        <w:rPr>
          <w:color w:val="6E6158"/>
        </w:rPr>
        <w:t>California</w:t>
      </w:r>
      <w:r>
        <w:rPr>
          <w:color w:val="6E6158"/>
          <w:spacing w:val="22"/>
        </w:rPr>
        <w:t> </w:t>
      </w:r>
      <w:r>
        <w:rPr>
          <w:color w:val="6E6158"/>
        </w:rPr>
        <w:t>Super</w:t>
      </w:r>
      <w:r>
        <w:rPr>
          <w:color w:val="6E6158"/>
          <w:spacing w:val="22"/>
        </w:rPr>
        <w:t> </w:t>
      </w:r>
      <w:r>
        <w:rPr>
          <w:color w:val="6E6158"/>
        </w:rPr>
        <w:t>Lawyer</w:t>
      </w:r>
      <w:r>
        <w:rPr>
          <w:color w:val="6E6158"/>
          <w:spacing w:val="22"/>
        </w:rPr>
        <w:t> </w:t>
      </w:r>
      <w:r>
        <w:rPr>
          <w:color w:val="6E6158"/>
        </w:rPr>
        <w:t>every</w:t>
      </w:r>
      <w:r>
        <w:rPr>
          <w:color w:val="6E6158"/>
          <w:spacing w:val="22"/>
        </w:rPr>
        <w:t> </w:t>
      </w:r>
      <w:r>
        <w:rPr>
          <w:color w:val="6E6158"/>
        </w:rPr>
        <w:t>year</w:t>
      </w:r>
      <w:r>
        <w:rPr>
          <w:color w:val="6E6158"/>
          <w:spacing w:val="22"/>
        </w:rPr>
        <w:t> </w:t>
      </w:r>
      <w:r>
        <w:rPr>
          <w:color w:val="6E6158"/>
        </w:rPr>
        <w:t>since</w:t>
      </w:r>
      <w:r>
        <w:rPr>
          <w:color w:val="6E6158"/>
          <w:spacing w:val="22"/>
        </w:rPr>
        <w:t> </w:t>
      </w:r>
      <w:r>
        <w:rPr>
          <w:color w:val="6E6158"/>
        </w:rPr>
        <w:t>2021.</w:t>
      </w:r>
      <w:r>
        <w:rPr>
          <w:color w:val="6E6158"/>
          <w:spacing w:val="22"/>
        </w:rPr>
        <w:t> </w:t>
      </w:r>
      <w:r>
        <w:rPr>
          <w:color w:val="6E6158"/>
        </w:rPr>
        <w:t>He</w:t>
      </w:r>
      <w:r>
        <w:rPr>
          <w:color w:val="6E6158"/>
          <w:spacing w:val="22"/>
        </w:rPr>
        <w:t> </w:t>
      </w:r>
      <w:r>
        <w:rPr>
          <w:color w:val="6E6158"/>
        </w:rPr>
        <w:t>is</w:t>
      </w:r>
      <w:r>
        <w:rPr>
          <w:color w:val="6E6158"/>
          <w:spacing w:val="22"/>
        </w:rPr>
        <w:t> </w:t>
      </w:r>
      <w:r>
        <w:rPr>
          <w:color w:val="6E6158"/>
        </w:rPr>
        <w:t>also</w:t>
      </w:r>
      <w:r>
        <w:rPr>
          <w:color w:val="6E6158"/>
          <w:spacing w:val="22"/>
        </w:rPr>
        <w:t> </w:t>
      </w:r>
      <w:r>
        <w:rPr>
          <w:color w:val="6E6158"/>
        </w:rPr>
        <w:t>active</w:t>
      </w:r>
      <w:r>
        <w:rPr>
          <w:color w:val="6E6158"/>
          <w:spacing w:val="22"/>
        </w:rPr>
        <w:t> </w:t>
      </w:r>
      <w:r>
        <w:rPr>
          <w:color w:val="6E6158"/>
        </w:rPr>
        <w:t>in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Bay</w:t>
      </w:r>
      <w:r>
        <w:rPr>
          <w:color w:val="6E6158"/>
          <w:spacing w:val="22"/>
        </w:rPr>
        <w:t> </w:t>
      </w:r>
      <w:r>
        <w:rPr>
          <w:color w:val="6E6158"/>
        </w:rPr>
        <w:t>Area</w:t>
      </w:r>
      <w:r>
        <w:rPr>
          <w:color w:val="6E6158"/>
          <w:spacing w:val="22"/>
        </w:rPr>
        <w:t> </w:t>
      </w:r>
      <w:r>
        <w:rPr>
          <w:color w:val="6E6158"/>
        </w:rPr>
        <w:t>legal</w:t>
      </w:r>
    </w:p>
    <w:p>
      <w:pPr>
        <w:pStyle w:val="BodyText"/>
        <w:spacing w:line="292" w:lineRule="auto" w:before="10"/>
        <w:ind w:left="104"/>
      </w:pPr>
      <w:r>
        <w:rPr>
          <w:color w:val="6E6158"/>
        </w:rPr>
        <w:t>community, serving on the Board of Directors for Legal Assistance for Seniors of Alameda County</w:t>
      </w:r>
      <w:r>
        <w:rPr>
          <w:color w:val="6E6158"/>
          <w:spacing w:val="40"/>
        </w:rPr>
        <w:t> </w:t>
      </w:r>
      <w:r>
        <w:rPr>
          <w:color w:val="6E6158"/>
        </w:rPr>
        <w:t>since 2020.</w:t>
      </w:r>
    </w:p>
    <w:p>
      <w:pPr>
        <w:pStyle w:val="BodyText"/>
        <w:spacing w:line="302" w:lineRule="auto" w:before="196"/>
        <w:ind w:left="104" w:right="263"/>
      </w:pPr>
      <w:r>
        <w:rPr>
          <w:color w:val="6E6158"/>
        </w:rPr>
        <w:t>Outside of work, Jeff and his wife enjoy the joyful blur created by two young children. He also</w:t>
      </w:r>
      <w:r>
        <w:rPr>
          <w:color w:val="6E6158"/>
          <w:spacing w:val="40"/>
        </w:rPr>
        <w:t> </w:t>
      </w:r>
      <w:r>
        <w:rPr>
          <w:color w:val="6E6158"/>
        </w:rPr>
        <w:t>loves</w:t>
      </w:r>
      <w:r>
        <w:rPr>
          <w:color w:val="6E6158"/>
          <w:spacing w:val="9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good</w:t>
      </w:r>
      <w:r>
        <w:rPr>
          <w:color w:val="6E6158"/>
          <w:spacing w:val="9"/>
        </w:rPr>
        <w:t> </w:t>
      </w:r>
      <w:r>
        <w:rPr>
          <w:color w:val="6E6158"/>
        </w:rPr>
        <w:t>cup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coffee</w:t>
      </w:r>
      <w:r>
        <w:rPr>
          <w:color w:val="6E6158"/>
          <w:spacing w:val="9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is</w:t>
      </w:r>
      <w:r>
        <w:rPr>
          <w:color w:val="6E6158"/>
          <w:spacing w:val="9"/>
        </w:rPr>
        <w:t> </w:t>
      </w:r>
      <w:r>
        <w:rPr>
          <w:color w:val="6E6158"/>
        </w:rPr>
        <w:t>an</w:t>
      </w:r>
      <w:r>
        <w:rPr>
          <w:color w:val="6E6158"/>
          <w:spacing w:val="9"/>
        </w:rPr>
        <w:t> </w:t>
      </w:r>
      <w:r>
        <w:rPr>
          <w:color w:val="6E6158"/>
        </w:rPr>
        <w:t>avid</w:t>
      </w:r>
      <w:r>
        <w:rPr>
          <w:color w:val="6E6158"/>
          <w:spacing w:val="9"/>
        </w:rPr>
        <w:t> </w:t>
      </w:r>
      <w:r>
        <w:rPr>
          <w:color w:val="6E6158"/>
        </w:rPr>
        <w:t>sports</w:t>
      </w:r>
      <w:r>
        <w:rPr>
          <w:color w:val="6E6158"/>
          <w:spacing w:val="10"/>
        </w:rPr>
        <w:t> </w:t>
      </w:r>
      <w:r>
        <w:rPr>
          <w:color w:val="6E6158"/>
        </w:rPr>
        <w:t>fan,</w:t>
      </w:r>
      <w:r>
        <w:rPr>
          <w:color w:val="6E6158"/>
          <w:spacing w:val="9"/>
        </w:rPr>
        <w:t> </w:t>
      </w:r>
      <w:r>
        <w:rPr>
          <w:color w:val="6E6158"/>
        </w:rPr>
        <w:t>following</w:t>
      </w:r>
      <w:r>
        <w:rPr>
          <w:color w:val="6E6158"/>
          <w:spacing w:val="9"/>
        </w:rPr>
        <w:t> </w:t>
      </w:r>
      <w:r>
        <w:rPr>
          <w:color w:val="6E6158"/>
        </w:rPr>
        <w:t>nearly</w:t>
      </w:r>
      <w:r>
        <w:rPr>
          <w:color w:val="6E6158"/>
          <w:spacing w:val="10"/>
        </w:rPr>
        <w:t> </w:t>
      </w:r>
      <w:r>
        <w:rPr>
          <w:color w:val="6E6158"/>
        </w:rPr>
        <w:t>every</w:t>
      </w:r>
      <w:r>
        <w:rPr>
          <w:color w:val="6E6158"/>
          <w:spacing w:val="9"/>
        </w:rPr>
        <w:t> </w:t>
      </w:r>
      <w:r>
        <w:rPr>
          <w:color w:val="6E6158"/>
        </w:rPr>
        <w:t>sport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imaginable.</w:t>
      </w:r>
    </w:p>
    <w:p>
      <w:pPr>
        <w:pStyle w:val="BodyText"/>
        <w:spacing w:line="420" w:lineRule="auto"/>
        <w:ind w:right="7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53877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42360pt;width:1.65pt;height:1.65pt;mso-position-horizontal-relative:page;mso-position-vertical-relative:paragraph;z-index:15729152" id="docshape11" coordorigin="1675,85" coordsize="33,33" path="m1696,117l1687,117,1683,116,1676,109,1675,106,1675,97,1676,93,1683,86,1687,85,1696,85,1699,86,1706,93,1707,97,1707,101,1707,106,1706,109,1699,116,1696,1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317410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92975pt;width:1.65pt;height:1.65pt;mso-position-horizontal-relative:page;mso-position-vertical-relative:paragraph;z-index:15729664" id="docshape12" coordorigin="1675,500" coordsize="33,33" path="m1696,532l1687,532,1683,531,1676,524,1675,521,1675,512,1676,508,1683,501,1687,500,1696,500,1699,501,1706,508,1707,512,1707,516,1707,521,1706,524,1699,531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1"/>
        <w:spacing w:before="151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6"/>
        <w:ind w:right="35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157678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5627pt;width:1.65pt;height:1.65pt;mso-position-horizontal-relative:page;mso-position-vertical-relative:paragraph;z-index:15730176" id="docshape13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416043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9369pt;width:1.65pt;height:1.65pt;mso-position-horizontal-relative:page;mso-position-vertical-relative:paragraph;z-index:15730688" id="docshape14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The University of Utah, S.J. Quinney College of </w:t>
      </w:r>
      <w:r>
        <w:rPr>
          <w:color w:val="6E6158"/>
        </w:rPr>
        <w:t>Law</w:t>
      </w:r>
      <w:r>
        <w:rPr>
          <w:color w:val="6E6158"/>
        </w:rPr>
        <w:t> B.A., University of Utah</w:t>
      </w:r>
    </w:p>
    <w:p>
      <w:pPr>
        <w:pStyle w:val="Heading1"/>
        <w:spacing w:before="154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right="7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157988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003pt;width:1.65pt;height:1.65pt;mso-position-horizontal-relative:page;mso-position-vertical-relative:paragraph;z-index:15731200" id="docshape15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416353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3775pt;width:1.65pt;height:1.65pt;mso-position-horizontal-relative:page;mso-position-vertical-relative:paragraph;z-index:15731712" id="docshape16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i/>
          <w:position w:val="7"/>
          <w:sz w:val="16"/>
        </w:rPr>
      </w:pPr>
      <w:r>
        <w:rPr>
          <w:i/>
          <w:position w:val="7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168286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0875pt;width:1.65pt;height:1.65pt;mso-position-horizontal-relative:page;mso-position-vertical-relative:paragraph;z-index:15732224" id="docshape17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Northern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California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Super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i/>
          <w:color w:val="6E6158"/>
          <w:spacing w:val="-2"/>
          <w:position w:val="7"/>
          <w:sz w:val="16"/>
        </w:rPr>
        <w:t>®</w:t>
      </w:r>
    </w:p>
    <w:p>
      <w:pPr>
        <w:spacing w:before="164"/>
        <w:ind w:left="356" w:right="0" w:firstLine="0"/>
        <w:jc w:val="left"/>
        <w:rPr>
          <w:i/>
          <w:position w:val="7"/>
          <w:sz w:val="16"/>
        </w:rPr>
      </w:pPr>
      <w:r>
        <w:rPr>
          <w:i/>
          <w:position w:val="7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183808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73103pt;width:1.65pt;height:1.65pt;mso-position-horizontal-relative:page;mso-position-vertical-relative:paragraph;z-index:15732736" id="docshape18" coordorigin="1675,289" coordsize="33,33" path="m1696,322l1687,322,1683,320,1676,314,1675,310,1675,301,1676,297,1683,291,1687,289,1696,289,1699,291,1706,297,1707,301,1707,306,1707,310,1706,314,1699,320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Northern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California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Super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Rising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Stars</w:t>
      </w:r>
      <w:r>
        <w:rPr>
          <w:i/>
          <w:color w:val="6E6158"/>
          <w:spacing w:val="-2"/>
          <w:position w:val="7"/>
          <w:sz w:val="16"/>
        </w:rPr>
        <w:t>®</w:t>
      </w:r>
    </w:p>
    <w:p>
      <w:pPr>
        <w:pStyle w:val="BodyText"/>
        <w:spacing w:before="1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173756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1578pt;width:1.65pt;height:1.65pt;mso-position-horizontal-relative:page;mso-position-vertical-relative:paragraph;z-index:15733248" id="docshape19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Barristers’</w:t>
      </w:r>
      <w:r>
        <w:rPr>
          <w:color w:val="6E6158"/>
          <w:spacing w:val="10"/>
        </w:rPr>
        <w:t> </w:t>
      </w:r>
      <w:r>
        <w:rPr>
          <w:color w:val="6E6158"/>
        </w:rPr>
        <w:t>Distinguished</w:t>
      </w:r>
      <w:r>
        <w:rPr>
          <w:color w:val="6E6158"/>
          <w:spacing w:val="10"/>
        </w:rPr>
        <w:t> </w:t>
      </w:r>
      <w:r>
        <w:rPr>
          <w:color w:val="6E6158"/>
        </w:rPr>
        <w:t>Service</w:t>
      </w:r>
      <w:r>
        <w:rPr>
          <w:color w:val="6E6158"/>
          <w:spacing w:val="10"/>
        </w:rPr>
        <w:t> </w:t>
      </w:r>
      <w:r>
        <w:rPr>
          <w:color w:val="6E6158"/>
        </w:rPr>
        <w:t>Award</w:t>
      </w:r>
      <w:r>
        <w:rPr>
          <w:color w:val="6E6158"/>
          <w:spacing w:val="10"/>
        </w:rPr>
        <w:t> </w:t>
      </w:r>
      <w:r>
        <w:rPr>
          <w:color w:val="6E6158"/>
        </w:rPr>
        <w:t>–</w:t>
      </w:r>
      <w:r>
        <w:rPr>
          <w:color w:val="6E6158"/>
          <w:spacing w:val="10"/>
        </w:rPr>
        <w:t> </w:t>
      </w:r>
      <w:r>
        <w:rPr>
          <w:color w:val="6E6158"/>
        </w:rPr>
        <w:t>Young</w:t>
      </w:r>
      <w:r>
        <w:rPr>
          <w:color w:val="6E6158"/>
          <w:spacing w:val="10"/>
        </w:rPr>
        <w:t> </w:t>
      </w:r>
      <w:r>
        <w:rPr>
          <w:color w:val="6E6158"/>
        </w:rPr>
        <w:t>Lawyer,</w:t>
      </w:r>
      <w:r>
        <w:rPr>
          <w:color w:val="6E6158"/>
          <w:spacing w:val="10"/>
        </w:rPr>
        <w:t> </w:t>
      </w:r>
      <w:r>
        <w:rPr>
          <w:color w:val="6E6158"/>
        </w:rPr>
        <w:t>Alameda</w:t>
      </w:r>
      <w:r>
        <w:rPr>
          <w:color w:val="6E6158"/>
          <w:spacing w:val="10"/>
        </w:rPr>
        <w:t> </w:t>
      </w:r>
      <w:r>
        <w:rPr>
          <w:color w:val="6E6158"/>
        </w:rPr>
        <w:t>County</w:t>
      </w:r>
      <w:r>
        <w:rPr>
          <w:color w:val="6E6158"/>
          <w:spacing w:val="10"/>
        </w:rPr>
        <w:t> </w:t>
      </w:r>
      <w:r>
        <w:rPr>
          <w:color w:val="6E6158"/>
        </w:rPr>
        <w:t>Bar</w:t>
      </w:r>
      <w:r>
        <w:rPr>
          <w:color w:val="6E6158"/>
          <w:spacing w:val="10"/>
        </w:rPr>
        <w:t> </w:t>
      </w:r>
      <w:r>
        <w:rPr>
          <w:color w:val="6E6158"/>
        </w:rPr>
        <w:t>Association,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2012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6"/>
      </w:pPr>
      <w:r>
        <w:rPr>
          <w:color w:val="6E6158"/>
        </w:rPr>
        <w:t>California</w:t>
      </w:r>
      <w:r>
        <w:rPr>
          <w:color w:val="6E6158"/>
          <w:spacing w:val="13"/>
        </w:rPr>
        <w:t> </w:t>
      </w:r>
      <w:r>
        <w:rPr>
          <w:color w:val="6E6158"/>
        </w:rPr>
        <w:t>Advocates</w:t>
      </w:r>
      <w:r>
        <w:rPr>
          <w:color w:val="6E6158"/>
          <w:spacing w:val="14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Nursing</w:t>
      </w:r>
      <w:r>
        <w:rPr>
          <w:color w:val="6E6158"/>
          <w:spacing w:val="14"/>
        </w:rPr>
        <w:t> </w:t>
      </w:r>
      <w:r>
        <w:rPr>
          <w:color w:val="6E6158"/>
        </w:rPr>
        <w:t>Home</w:t>
      </w:r>
      <w:r>
        <w:rPr>
          <w:color w:val="6E6158"/>
          <w:spacing w:val="14"/>
        </w:rPr>
        <w:t> </w:t>
      </w:r>
      <w:r>
        <w:rPr>
          <w:color w:val="6E6158"/>
        </w:rPr>
        <w:t>Reform,</w:t>
      </w:r>
      <w:r>
        <w:rPr>
          <w:color w:val="6E6158"/>
          <w:spacing w:val="13"/>
        </w:rPr>
        <w:t> </w:t>
      </w:r>
      <w:r>
        <w:rPr>
          <w:color w:val="6E6158"/>
        </w:rPr>
        <w:t>2024</w:t>
      </w:r>
      <w:r>
        <w:rPr>
          <w:color w:val="6E6158"/>
          <w:spacing w:val="14"/>
        </w:rPr>
        <w:t> </w:t>
      </w:r>
      <w:r>
        <w:rPr>
          <w:color w:val="6E6158"/>
        </w:rPr>
        <w:t>Elder</w:t>
      </w:r>
      <w:r>
        <w:rPr>
          <w:color w:val="6E6158"/>
          <w:spacing w:val="13"/>
        </w:rPr>
        <w:t> </w:t>
      </w:r>
      <w:r>
        <w:rPr>
          <w:color w:val="6E6158"/>
        </w:rPr>
        <w:t>Law</w:t>
      </w:r>
      <w:r>
        <w:rPr>
          <w:color w:val="6E6158"/>
          <w:spacing w:val="14"/>
        </w:rPr>
        <w:t> </w:t>
      </w:r>
      <w:r>
        <w:rPr>
          <w:color w:val="6E6158"/>
        </w:rPr>
        <w:t>Conference</w:t>
      </w:r>
      <w:r>
        <w:rPr>
          <w:color w:val="6E6158"/>
          <w:spacing w:val="14"/>
        </w:rPr>
        <w:t> </w:t>
      </w:r>
      <w:r>
        <w:rPr>
          <w:color w:val="6E6158"/>
        </w:rPr>
        <w:t>–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Artificial</w:t>
      </w:r>
    </w:p>
    <w:p>
      <w:pPr>
        <w:pStyle w:val="BodyText"/>
        <w:spacing w:line="302" w:lineRule="auto" w:before="52"/>
        <w:ind w:right="2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97921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710384pt;width:1.65pt;height:1.65pt;mso-position-horizontal-relative:page;mso-position-vertical-relative:paragraph;z-index:15733760" id="docshape20" coordorigin="1675,154" coordsize="33,33" path="m1696,187l1687,187,1683,185,1676,179,1675,175,1675,166,1676,162,1683,156,1687,154,1696,154,1699,156,1706,162,1707,166,1707,170,1707,175,1706,179,1699,185,1696,1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Intelligence, Real Responsibility: Ethical Considerations in the Use of Artificial Intelligence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Legal Practice, November 23, 2024.</w:t>
      </w:r>
    </w:p>
    <w:p>
      <w:pPr>
        <w:pStyle w:val="BodyText"/>
        <w:spacing w:line="292" w:lineRule="auto" w:before="113"/>
        <w:ind w:right="2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224361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629pt;width:1.65pt;height:1.65pt;mso-position-horizontal-relative:page;mso-position-vertical-relative:paragraph;z-index:15734272" id="docshape21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Continuing Education of the Bar – Ethics and Professional Responsibility in Estate </w:t>
      </w:r>
      <w:r>
        <w:rPr>
          <w:color w:val="6E6158"/>
        </w:rPr>
        <w:t>Planning, March 19, 2024.</w:t>
      </w:r>
    </w:p>
    <w:p>
      <w:pPr>
        <w:pStyle w:val="BodyText"/>
        <w:spacing w:line="302" w:lineRule="auto" w:before="123"/>
        <w:ind w:right="2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236056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7137pt;width:1.65pt;height:1.65pt;mso-position-horizontal-relative:page;mso-position-vertical-relative:paragraph;z-index:15734784" id="docshape22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East Bay Trusts and Estates Lawyers – But I Like My Ol’ Hat!: Rethinking Marital Deduction Formulas in Estate Planning, January 10, 2024.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224400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9294pt;width:1.65pt;height:1.65pt;mso-position-horizontal-relative:page;mso-position-vertical-relative:paragraph;z-index:15735296" id="docshape23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Moving to Mastery – Fundamentals of California Trust Administration: Subtrust Allocation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Funding at the Death of the First Spouse in a Joint Trust, April 20, 2023.</w:t>
      </w:r>
    </w:p>
    <w:p>
      <w:pPr>
        <w:pStyle w:val="BodyText"/>
        <w:spacing w:line="302" w:lineRule="auto" w:before="123"/>
        <w:ind w:right="2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236094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0143pt;width:1.65pt;height:1.65pt;mso-position-horizontal-relative:page;mso-position-vertical-relative:paragraph;z-index:15735808" id="docshape24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San Luis Obispo County Bar Association: IRA Beneficiary Designations in the Age of the </w:t>
      </w:r>
      <w:r>
        <w:rPr>
          <w:color w:val="6E6158"/>
        </w:rPr>
        <w:t>SECURE</w:t>
      </w:r>
      <w:r>
        <w:rPr>
          <w:color w:val="6E6158"/>
          <w:spacing w:val="40"/>
        </w:rPr>
        <w:t> </w:t>
      </w:r>
      <w:r>
        <w:rPr>
          <w:color w:val="6E6158"/>
        </w:rPr>
        <w:t>Act, September 23, 2020</w:t>
      </w:r>
    </w:p>
    <w:p>
      <w:pPr>
        <w:pStyle w:val="BodyText"/>
        <w:spacing w:line="292" w:lineRule="auto" w:before="113"/>
        <w:ind w:right="2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224438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723pt;width:1.65pt;height:1.65pt;mso-position-horizontal-relative:page;mso-position-vertical-relative:paragraph;z-index:15736320" id="docshape25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Cameron House: Tail of the Charitable Dog: Tax and Control Considerations in Planned Giving, August 22, 2020.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143121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9398pt;width:1.65pt;height:1.65pt;mso-position-horizontal-relative:page;mso-position-vertical-relative:paragraph;z-index:15736832" id="docshape26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Dying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Private</w:t>
      </w:r>
      <w:r>
        <w:rPr>
          <w:color w:val="6E6158"/>
          <w:spacing w:val="11"/>
        </w:rPr>
        <w:t> </w:t>
      </w:r>
      <w:r>
        <w:rPr>
          <w:color w:val="6E6158"/>
        </w:rPr>
        <w:t>Keys,</w:t>
      </w:r>
      <w:r>
        <w:rPr>
          <w:color w:val="6E6158"/>
          <w:spacing w:val="11"/>
        </w:rPr>
        <w:t> </w:t>
      </w:r>
      <w:r>
        <w:rPr>
          <w:color w:val="6E6158"/>
        </w:rPr>
        <w:t>Perkins</w:t>
      </w:r>
      <w:r>
        <w:rPr>
          <w:color w:val="6E6158"/>
          <w:spacing w:val="11"/>
        </w:rPr>
        <w:t> </w:t>
      </w:r>
      <w:r>
        <w:rPr>
          <w:color w:val="6E6158"/>
        </w:rPr>
        <w:t>Coie,</w:t>
      </w:r>
      <w:r>
        <w:rPr>
          <w:color w:val="6E6158"/>
          <w:spacing w:val="11"/>
        </w:rPr>
        <w:t> </w:t>
      </w:r>
      <w:r>
        <w:rPr>
          <w:color w:val="6E6158"/>
        </w:rPr>
        <w:t>LLP</w:t>
      </w:r>
      <w:r>
        <w:rPr>
          <w:color w:val="6E6158"/>
          <w:spacing w:val="12"/>
        </w:rPr>
        <w:t> </w:t>
      </w:r>
      <w:r>
        <w:rPr>
          <w:color w:val="6E6158"/>
        </w:rPr>
        <w:t>Virtual</w:t>
      </w:r>
      <w:r>
        <w:rPr>
          <w:color w:val="6E6158"/>
          <w:spacing w:val="11"/>
        </w:rPr>
        <w:t> </w:t>
      </w:r>
      <w:r>
        <w:rPr>
          <w:color w:val="6E6158"/>
        </w:rPr>
        <w:t>Currency</w:t>
      </w:r>
      <w:r>
        <w:rPr>
          <w:color w:val="6E6158"/>
          <w:spacing w:val="11"/>
        </w:rPr>
        <w:t> </w:t>
      </w:r>
      <w:r>
        <w:rPr>
          <w:color w:val="6E6158"/>
        </w:rPr>
        <w:t>Report,</w:t>
      </w:r>
      <w:r>
        <w:rPr>
          <w:color w:val="6E6158"/>
          <w:spacing w:val="11"/>
        </w:rPr>
        <w:t> </w:t>
      </w:r>
      <w:r>
        <w:rPr>
          <w:color w:val="6E6158"/>
        </w:rPr>
        <w:t>March</w:t>
      </w:r>
      <w:r>
        <w:rPr>
          <w:color w:val="6E6158"/>
          <w:spacing w:val="11"/>
        </w:rPr>
        <w:t> </w:t>
      </w:r>
      <w:r>
        <w:rPr>
          <w:color w:val="6E6158"/>
        </w:rPr>
        <w:t>6,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2019.</w:t>
      </w:r>
    </w:p>
    <w:p>
      <w:pPr>
        <w:pStyle w:val="BodyText"/>
        <w:spacing w:line="292" w:lineRule="auto" w:before="183"/>
        <w:ind w:right="2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268467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9202pt;width:1.65pt;height:1.65pt;mso-position-horizontal-relative:page;mso-position-vertical-relative:paragraph;z-index:15737344" id="docshape27" coordorigin="1675,423" coordsize="33,33" path="m1696,455l1687,455,1683,454,1676,447,1675,444,1675,435,1676,431,1683,424,1687,423,1696,423,1699,424,1706,431,1707,435,1707,439,1707,444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Council of Business Advisors: Property Tax Issues in Estate Planning – An Overview, January 27,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2015;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142700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6288pt;width:1.65pt;height:1.65pt;mso-position-horizontal-relative:page;mso-position-vertical-relative:paragraph;z-index:15737856" id="docshape28" coordorigin="1675,225" coordsize="33,33" path="m1696,257l1687,257,1683,256,1676,249,1675,245,1675,237,1676,233,1683,226,1687,225,1696,225,1699,226,1706,233,1707,237,1707,241,1707,245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IRA</w:t>
      </w:r>
      <w:r>
        <w:rPr>
          <w:color w:val="6E6158"/>
          <w:spacing w:val="11"/>
        </w:rPr>
        <w:t> </w:t>
      </w:r>
      <w:r>
        <w:rPr>
          <w:color w:val="6E6158"/>
        </w:rPr>
        <w:t>Trusts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Beneficiary</w:t>
      </w:r>
      <w:r>
        <w:rPr>
          <w:color w:val="6E6158"/>
          <w:spacing w:val="11"/>
        </w:rPr>
        <w:t> </w:t>
      </w:r>
      <w:r>
        <w:rPr>
          <w:color w:val="6E6158"/>
        </w:rPr>
        <w:t>Designations,</w:t>
      </w:r>
      <w:r>
        <w:rPr>
          <w:color w:val="6E6158"/>
          <w:spacing w:val="12"/>
        </w:rPr>
        <w:t> </w:t>
      </w:r>
      <w:r>
        <w:rPr>
          <w:color w:val="6E6158"/>
        </w:rPr>
        <w:t>May</w:t>
      </w:r>
      <w:r>
        <w:rPr>
          <w:color w:val="6E6158"/>
          <w:spacing w:val="12"/>
        </w:rPr>
        <w:t> </w:t>
      </w:r>
      <w:r>
        <w:rPr>
          <w:color w:val="6E6158"/>
        </w:rPr>
        <w:t>22,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2018.</w:t>
      </w:r>
    </w:p>
    <w:p>
      <w:pPr>
        <w:pStyle w:val="BodyText"/>
        <w:spacing w:line="420" w:lineRule="auto" w:before="182"/>
        <w:ind w:right="2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175035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2326pt;width:1.65pt;height:1.65pt;mso-position-horizontal-relative:page;mso-position-vertical-relative:paragraph;z-index:15738368" id="docshape29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433401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6095pt;width:1.65pt;height:1.65pt;mso-position-horizontal-relative:page;mso-position-vertical-relative:paragraph;z-index:15738880" id="docshape30" coordorigin="1675,683" coordsize="33,33" path="m1696,715l1687,715,1683,713,1676,707,1675,703,1675,694,1676,690,1683,684,1687,683,1696,683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Continuing Education of the Bar (CEB): Drafting Revocable Trusts I and II, October 28, 2011;</w:t>
      </w:r>
      <w:r>
        <w:rPr>
          <w:color w:val="6E6158"/>
          <w:spacing w:val="40"/>
        </w:rPr>
        <w:t> </w:t>
      </w:r>
      <w:r>
        <w:rPr>
          <w:color w:val="6E6158"/>
        </w:rPr>
        <w:t>Estate Planning Intensive Course Faculty member 2015 and 2017 – Transfer Tax Issues;</w:t>
      </w:r>
    </w:p>
    <w:p>
      <w:pPr>
        <w:pStyle w:val="BodyText"/>
        <w:spacing w:line="420" w:lineRule="auto"/>
        <w:ind w:right="11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63623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974pt;width:1.65pt;height:1.65pt;mso-position-horizontal-relative:page;mso-position-vertical-relative:paragraph;z-index:15739392" id="docshape31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321989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53483pt;width:1.65pt;height:1.65pt;mso-position-horizontal-relative:page;mso-position-vertical-relative:paragraph;z-index:15739904" id="docshape32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“How to Be an Ethical Trusts and Estates Attorney” – Basics 2017: Estate Planning; “How to Be An Ethical Trusts and Estates Attorney” – Basics 2018: Estate Planning</w:t>
      </w:r>
    </w:p>
    <w:p>
      <w:pPr>
        <w:pStyle w:val="BodyText"/>
        <w:spacing w:line="292" w:lineRule="auto" w:before="5"/>
        <w:ind w:right="2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155626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254026pt;width:1.65pt;height:1.65pt;mso-position-horizontal-relative:page;mso-position-vertical-relative:paragraph;z-index:15740416" id="docshape33" coordorigin="1675,245" coordsize="33,33" path="m1696,278l1687,278,1683,276,1676,270,1675,266,1675,257,1676,253,1683,247,1687,245,1696,245,1699,247,1706,253,1707,257,1707,261,1707,266,1706,270,1699,276,1696,2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East Bay Trusts and Estates Lawyers (EBTEL): “Taking the Certified Specialist Exam,” August 12,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2015.</w:t>
      </w:r>
    </w:p>
    <w:p>
      <w:pPr>
        <w:pStyle w:val="BodyText"/>
        <w:spacing w:line="420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142889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1113pt;width:1.65pt;height:1.65pt;mso-position-horizontal-relative:page;mso-position-vertical-relative:paragraph;z-index:15740928" id="docshape34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401254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94856pt;width:1.65pt;height:1.65pt;mso-position-horizontal-relative:page;mso-position-vertical-relative:paragraph;z-index:15741440" id="docshape35" coordorigin="1675,632" coordsize="33,33" path="m1696,664l1687,664,1683,663,1676,657,1675,653,1675,644,1676,640,1683,633,1687,632,1696,632,1699,633,1706,640,1707,644,1707,648,1707,653,1706,657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National Business Institute:</w:t>
      </w:r>
      <w:r>
        <w:rPr>
          <w:color w:val="6E6158"/>
          <w:spacing w:val="80"/>
        </w:rPr>
        <w:t> </w:t>
      </w:r>
      <w:r>
        <w:rPr>
          <w:color w:val="6E6158"/>
        </w:rPr>
        <w:t>Trusts: The Ultimate Guide – Retirement Trusts, December 14, 2017; Probate Boot Camp – First Steps, October 28, 2014;</w:t>
      </w:r>
    </w:p>
    <w:p>
      <w:pPr>
        <w:pStyle w:val="BodyText"/>
        <w:spacing w:line="292" w:lineRule="auto" w:before="7"/>
        <w:ind w:right="2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156786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454pt;width:1.65pt;height:1.65pt;mso-position-horizontal-relative:page;mso-position-vertical-relative:paragraph;z-index:15741952" id="docshape36" coordorigin="1675,247" coordsize="33,33" path="m1696,279l1687,279,1683,278,1676,272,1675,268,1675,259,1676,255,1683,248,1687,247,1696,247,1699,248,1706,255,1707,259,1707,263,1707,268,1706,272,1699,278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 Probate Process From Start to Finish – Maintaining an Ethical Balance in Probate, May 12,</w:t>
      </w:r>
      <w:r>
        <w:rPr>
          <w:color w:val="6E6158"/>
          <w:spacing w:val="40"/>
        </w:rPr>
        <w:t> </w:t>
      </w:r>
      <w:r>
        <w:rPr>
          <w:color w:val="6E6158"/>
        </w:rPr>
        <w:t>2014; Trusts 101 – Ethical</w:t>
      </w:r>
      <w:r>
        <w:rPr>
          <w:color w:val="6E6158"/>
          <w:spacing w:val="40"/>
        </w:rPr>
        <w:t> </w:t>
      </w:r>
      <w:r>
        <w:rPr>
          <w:color w:val="6E6158"/>
        </w:rPr>
        <w:t>Considerations, August19, 2013;</w:t>
      </w:r>
    </w:p>
    <w:p>
      <w:pPr>
        <w:pStyle w:val="BodyText"/>
        <w:spacing w:line="420" w:lineRule="auto" w:before="123"/>
        <w:ind w:right="2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142779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2486pt;width:1.65pt;height:1.65pt;mso-position-horizontal-relative:page;mso-position-vertical-relative:paragraph;z-index:15742464" id="docshape37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401145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86252pt;width:1.65pt;height:1.65pt;mso-position-horizontal-relative:page;mso-position-vertical-relative:paragraph;z-index:15742976" id="docshape38" coordorigin="1675,632" coordsize="33,33" path="m1696,664l1687,664,1683,663,1676,656,1675,652,1675,644,1676,640,1683,633,1687,632,1696,632,1699,633,1706,640,1707,644,1707,648,1707,652,1706,656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 Planning for Trusts and Estates – Estate Tax Planning Considerations, September 19, 2012; Trusts</w:t>
      </w:r>
      <w:r>
        <w:rPr>
          <w:color w:val="6E6158"/>
          <w:spacing w:val="9"/>
        </w:rPr>
        <w:t> </w:t>
      </w:r>
      <w:r>
        <w:rPr>
          <w:color w:val="6E6158"/>
        </w:rPr>
        <w:t>101</w:t>
      </w:r>
      <w:r>
        <w:rPr>
          <w:color w:val="6E6158"/>
          <w:spacing w:val="10"/>
        </w:rPr>
        <w:t> </w:t>
      </w:r>
      <w:r>
        <w:rPr>
          <w:color w:val="6E6158"/>
        </w:rPr>
        <w:t>–</w:t>
      </w:r>
      <w:r>
        <w:rPr>
          <w:color w:val="6E6158"/>
          <w:spacing w:val="10"/>
        </w:rPr>
        <w:t> </w:t>
      </w:r>
      <w:r>
        <w:rPr>
          <w:color w:val="6E6158"/>
        </w:rPr>
        <w:t>Revocable</w:t>
      </w:r>
      <w:r>
        <w:rPr>
          <w:color w:val="6E6158"/>
          <w:spacing w:val="10"/>
        </w:rPr>
        <w:t> </w:t>
      </w:r>
      <w:r>
        <w:rPr>
          <w:color w:val="6E6158"/>
        </w:rPr>
        <w:t>Living</w:t>
      </w:r>
      <w:r>
        <w:rPr>
          <w:color w:val="6E6158"/>
          <w:spacing w:val="10"/>
        </w:rPr>
        <w:t> </w:t>
      </w:r>
      <w:r>
        <w:rPr>
          <w:color w:val="6E6158"/>
        </w:rPr>
        <w:t>Trusts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Irrevocable</w:t>
      </w:r>
      <w:r>
        <w:rPr>
          <w:color w:val="6E6158"/>
          <w:spacing w:val="73"/>
        </w:rPr>
        <w:t> </w:t>
      </w:r>
      <w:r>
        <w:rPr>
          <w:color w:val="6E6158"/>
        </w:rPr>
        <w:t>Life</w:t>
      </w:r>
      <w:r>
        <w:rPr>
          <w:color w:val="6E6158"/>
          <w:spacing w:val="10"/>
        </w:rPr>
        <w:t> </w:t>
      </w:r>
      <w:r>
        <w:rPr>
          <w:color w:val="6E6158"/>
        </w:rPr>
        <w:t>Insurance</w:t>
      </w:r>
      <w:r>
        <w:rPr>
          <w:color w:val="6E6158"/>
          <w:spacing w:val="9"/>
        </w:rPr>
        <w:t> </w:t>
      </w:r>
      <w:r>
        <w:rPr>
          <w:color w:val="6E6158"/>
        </w:rPr>
        <w:t>Trusts,</w:t>
      </w:r>
      <w:r>
        <w:rPr>
          <w:color w:val="6E6158"/>
          <w:spacing w:val="10"/>
        </w:rPr>
        <w:t> </w:t>
      </w:r>
      <w:r>
        <w:rPr>
          <w:color w:val="6E6158"/>
        </w:rPr>
        <w:t>December</w:t>
      </w:r>
      <w:r>
        <w:rPr>
          <w:color w:val="6E6158"/>
          <w:spacing w:val="10"/>
        </w:rPr>
        <w:t> </w:t>
      </w:r>
      <w:r>
        <w:rPr>
          <w:color w:val="6E6158"/>
        </w:rPr>
        <w:t>9,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2011;</w:t>
      </w:r>
    </w:p>
    <w:p>
      <w:pPr>
        <w:pStyle w:val="BodyText"/>
        <w:spacing w:line="292" w:lineRule="auto" w:before="6"/>
        <w:ind w:right="2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156677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36772pt;width:1.65pt;height:1.65pt;mso-position-horizontal-relative:page;mso-position-vertical-relative:paragraph;z-index:15743488" id="docshape39" coordorigin="1675,247" coordsize="33,33" path="m1696,279l1687,279,1683,278,1676,271,1675,268,1675,259,1676,255,1683,248,1687,247,1696,247,1699,248,1706,255,1707,259,1707,263,1707,268,1706,271,1699,278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 Administration: Preventing and Litigating Fiduciary Liability – Managing and </w:t>
      </w:r>
      <w:r>
        <w:rPr>
          <w:color w:val="6E6158"/>
        </w:rPr>
        <w:t>Modifying Trusts and Legal Ethics, June 22, 2011;</w:t>
      </w:r>
    </w:p>
    <w:p>
      <w:pPr>
        <w:pStyle w:val="BodyText"/>
        <w:spacing w:line="29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231149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200754pt;width:1.65pt;height:1.65pt;mso-position-horizontal-relative:page;mso-position-vertical-relative:paragraph;z-index:15744000" id="docshape40" coordorigin="1675,364" coordsize="33,33" path="m1696,397l1687,397,1683,395,1676,389,1675,385,1675,376,1676,372,1683,366,1687,364,1696,364,1699,366,1706,372,1707,376,1707,380,1707,385,1706,389,1699,395,1696,3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Drafting Effective Wills and Trusts – Using Living Trusts and Powers of Attorney as Estate Planning</w:t>
      </w:r>
      <w:r>
        <w:rPr>
          <w:color w:val="6E6158"/>
          <w:spacing w:val="40"/>
        </w:rPr>
        <w:t> </w:t>
      </w:r>
      <w:r>
        <w:rPr>
          <w:color w:val="6E6158"/>
        </w:rPr>
        <w:t>Tools, September 21, 2010.</w:t>
      </w:r>
    </w:p>
    <w:p>
      <w:pPr>
        <w:pStyle w:val="BodyText"/>
        <w:spacing w:after="0" w:line="292" w:lineRule="auto"/>
        <w:sectPr>
          <w:pgSz w:w="12240" w:h="15840"/>
          <w:pgMar w:top="580" w:bottom="280" w:left="1440" w:right="1440"/>
        </w:sectPr>
      </w:pPr>
    </w:p>
    <w:p>
      <w:pPr>
        <w:pStyle w:val="BodyText"/>
        <w:spacing w:line="297" w:lineRule="auto" w:before="88"/>
        <w:ind w:right="2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301632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3.750584pt;width:1.65pt;height:1.65pt;mso-position-horizontal-relative:page;mso-position-vertical-relative:paragraph;z-index:15744512" id="docshape41" coordorigin="1675,475" coordsize="33,33" path="m1696,508l1687,508,1683,506,1676,500,1675,496,1675,487,1676,483,1683,477,1687,475,1696,475,1699,477,1706,483,1707,487,1707,491,1707,496,1706,500,1699,506,1696,5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Alameda County Bar Association: Volunteer Legal Services – Wills and Trusts Training Seminar, February 17, 24, 2011.</w:t>
      </w:r>
      <w:r>
        <w:rPr>
          <w:color w:val="6E6158"/>
          <w:spacing w:val="80"/>
        </w:rPr>
        <w:t> </w:t>
      </w:r>
      <w:r>
        <w:rPr>
          <w:color w:val="6E6158"/>
        </w:rPr>
        <w:t>Provided training to 40+ attorneys able to provide pro bono representation</w:t>
      </w:r>
      <w:r>
        <w:rPr>
          <w:color w:val="6E6158"/>
          <w:spacing w:val="36"/>
        </w:rPr>
        <w:t> </w:t>
      </w:r>
      <w:r>
        <w:rPr>
          <w:color w:val="6E6158"/>
        </w:rPr>
        <w:t>to</w:t>
      </w:r>
      <w:r>
        <w:rPr>
          <w:color w:val="6E6158"/>
          <w:spacing w:val="36"/>
        </w:rPr>
        <w:t> </w:t>
      </w:r>
      <w:r>
        <w:rPr>
          <w:color w:val="6E6158"/>
        </w:rPr>
        <w:t>over</w:t>
      </w:r>
      <w:r>
        <w:rPr>
          <w:color w:val="6E6158"/>
          <w:spacing w:val="36"/>
        </w:rPr>
        <w:t> </w:t>
      </w:r>
      <w:r>
        <w:rPr>
          <w:color w:val="6E6158"/>
        </w:rPr>
        <w:t>80</w:t>
      </w:r>
      <w:r>
        <w:rPr>
          <w:color w:val="6E6158"/>
          <w:spacing w:val="36"/>
        </w:rPr>
        <w:t> </w:t>
      </w:r>
      <w:r>
        <w:rPr>
          <w:color w:val="6E6158"/>
        </w:rPr>
        <w:t>low-income</w:t>
      </w:r>
      <w:r>
        <w:rPr>
          <w:color w:val="6E6158"/>
          <w:spacing w:val="36"/>
        </w:rPr>
        <w:t> </w:t>
      </w:r>
      <w:r>
        <w:rPr>
          <w:color w:val="6E6158"/>
        </w:rPr>
        <w:t>clients</w:t>
      </w:r>
      <w:r>
        <w:rPr>
          <w:color w:val="6E6158"/>
          <w:spacing w:val="36"/>
        </w:rPr>
        <w:t> </w:t>
      </w:r>
      <w:r>
        <w:rPr>
          <w:color w:val="6E6158"/>
        </w:rPr>
        <w:t>needing</w:t>
      </w:r>
      <w:r>
        <w:rPr>
          <w:color w:val="6E6158"/>
          <w:spacing w:val="36"/>
        </w:rPr>
        <w:t> </w:t>
      </w:r>
      <w:r>
        <w:rPr>
          <w:color w:val="6E6158"/>
        </w:rPr>
        <w:t>basic</w:t>
      </w:r>
      <w:r>
        <w:rPr>
          <w:color w:val="6E6158"/>
          <w:spacing w:val="36"/>
        </w:rPr>
        <w:t> </w:t>
      </w:r>
      <w:r>
        <w:rPr>
          <w:color w:val="6E6158"/>
        </w:rPr>
        <w:t>estate</w:t>
      </w:r>
      <w:r>
        <w:rPr>
          <w:color w:val="6E6158"/>
          <w:spacing w:val="36"/>
        </w:rPr>
        <w:t> </w:t>
      </w:r>
      <w:r>
        <w:rPr>
          <w:color w:val="6E6158"/>
        </w:rPr>
        <w:t>planning</w:t>
      </w:r>
      <w:r>
        <w:rPr>
          <w:color w:val="6E6158"/>
          <w:spacing w:val="36"/>
        </w:rPr>
        <w:t> </w:t>
      </w:r>
      <w:r>
        <w:rPr>
          <w:color w:val="6E6158"/>
        </w:rPr>
        <w:t>services.</w:t>
      </w:r>
    </w:p>
    <w:p>
      <w:pPr>
        <w:pStyle w:val="BodyText"/>
        <w:spacing w:line="292" w:lineRule="auto" w:before="118"/>
        <w:ind w:right="2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227701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29245pt;width:1.65pt;height:1.65pt;mso-position-horizontal-relative:page;mso-position-vertical-relative:paragraph;z-index:15745024" id="docshape42" coordorigin="1675,359" coordsize="33,33" path="m1696,391l1687,391,1683,390,1676,383,1675,379,1675,370,1676,367,1683,360,1687,359,1696,359,1699,360,1706,367,1707,370,1707,375,1707,379,1706,383,1699,390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PENSCO Trust Company: Roth Conversions and other Retirement Plan Exit Strategies, </w:t>
      </w:r>
      <w:r>
        <w:rPr>
          <w:color w:val="6E6158"/>
        </w:rPr>
        <w:t>October</w:t>
      </w:r>
      <w:r>
        <w:rPr>
          <w:color w:val="6E6158"/>
          <w:spacing w:val="40"/>
        </w:rPr>
        <w:t> </w:t>
      </w:r>
      <w:r>
        <w:rPr>
          <w:color w:val="6E6158"/>
        </w:rPr>
        <w:t>23-24, 2008.</w:t>
      </w:r>
    </w:p>
    <w:p>
      <w:pPr>
        <w:pStyle w:val="BodyText"/>
        <w:spacing w:line="302" w:lineRule="auto" w:before="124"/>
        <w:ind w:right="2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236221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0092pt;width:1.65pt;height:1.65pt;mso-position-horizontal-relative:page;mso-position-vertical-relative:paragraph;z-index:15745536" id="docshape43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Professional Fiduciary Association of California: Administering Special Needs Trusts, </w:t>
      </w:r>
      <w:r>
        <w:rPr>
          <w:color w:val="6E6158"/>
        </w:rPr>
        <w:t>November</w:t>
      </w:r>
      <w:r>
        <w:rPr>
          <w:color w:val="6E6158"/>
          <w:spacing w:val="80"/>
        </w:rPr>
        <w:t> </w:t>
      </w:r>
      <w:r>
        <w:rPr>
          <w:color w:val="6E6158"/>
        </w:rPr>
        <w:t>5-6, 2009.</w:t>
      </w:r>
    </w:p>
    <w:p>
      <w:pPr>
        <w:pStyle w:val="BodyText"/>
        <w:spacing w:line="292" w:lineRule="auto"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223929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225pt;width:1.65pt;height:1.65pt;mso-position-horizontal-relative:page;mso-position-vertical-relative:paragraph;z-index:15746048" id="docshape44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Strafford Publications: “Mitigating Successor Trustee Liability for Prior Fiduciary Breach: </w:t>
      </w:r>
      <w:r>
        <w:rPr>
          <w:color w:val="6E6158"/>
        </w:rPr>
        <w:t>Trust Structure and Administrative Tools,” October 31, 2017.</w:t>
      </w:r>
    </w:p>
    <w:p>
      <w:pPr>
        <w:pStyle w:val="BodyText"/>
        <w:spacing w:line="302" w:lineRule="auto" w:before="124"/>
        <w:ind w:right="2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236259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3098pt;width:1.65pt;height:1.65pt;mso-position-horizontal-relative:page;mso-position-vertical-relative:paragraph;z-index:15746560" id="docshape45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Berkeley Association of Realtors: Real Estate Planning: Real Property Issues from an </w:t>
      </w:r>
      <w:r>
        <w:rPr>
          <w:color w:val="6E6158"/>
        </w:rPr>
        <w:t>Estate Planning Perspective, February 25, 2009.</w:t>
      </w:r>
    </w:p>
    <w:p>
      <w:pPr>
        <w:pStyle w:val="Heading1"/>
        <w:spacing w:before="15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157621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1113pt;width:1.65pt;height:1.65pt;mso-position-horizontal-relative:page;mso-position-vertical-relative:paragraph;z-index:15747072" id="docshape46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Board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Directors,</w:t>
      </w:r>
      <w:r>
        <w:rPr>
          <w:color w:val="6E6158"/>
          <w:spacing w:val="11"/>
        </w:rPr>
        <w:t> </w:t>
      </w:r>
      <w:r>
        <w:rPr>
          <w:color w:val="6E6158"/>
        </w:rPr>
        <w:t>Legal</w:t>
      </w:r>
      <w:r>
        <w:rPr>
          <w:color w:val="6E6158"/>
          <w:spacing w:val="12"/>
        </w:rPr>
        <w:t> </w:t>
      </w:r>
      <w:r>
        <w:rPr>
          <w:color w:val="6E6158"/>
        </w:rPr>
        <w:t>Assistance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Seniors,</w:t>
      </w:r>
      <w:r>
        <w:rPr>
          <w:color w:val="6E6158"/>
          <w:spacing w:val="11"/>
        </w:rPr>
        <w:t> </w:t>
      </w:r>
      <w:r>
        <w:rPr>
          <w:color w:val="6E6158"/>
        </w:rPr>
        <w:t>2020-</w:t>
      </w:r>
      <w:r>
        <w:rPr>
          <w:color w:val="6E6158"/>
          <w:spacing w:val="-2"/>
        </w:rPr>
        <w:t>present</w:t>
      </w:r>
    </w:p>
    <w:p>
      <w:pPr>
        <w:pStyle w:val="BodyText"/>
        <w:spacing w:line="302" w:lineRule="auto" w:before="174"/>
        <w:ind w:right="3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268362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0907pt;width:1.65pt;height:1.65pt;mso-position-horizontal-relative:page;mso-position-vertical-relative:paragraph;z-index:15747584" id="docshape47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Liaison to Diversity, Equality and Inclusion Committee, Legal Assistance for Seniors, </w:t>
      </w:r>
      <w:r>
        <w:rPr>
          <w:color w:val="6E6158"/>
        </w:rPr>
        <w:t>2021- </w:t>
      </w:r>
      <w:r>
        <w:rPr>
          <w:color w:val="6E6158"/>
          <w:spacing w:val="-2"/>
        </w:rPr>
        <w:t>present</w:t>
      </w:r>
    </w:p>
    <w:p>
      <w:pPr>
        <w:pStyle w:val="BodyText"/>
        <w:spacing w:line="420" w:lineRule="auto" w:before="113"/>
        <w:ind w:right="23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131309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9314pt;width:1.65pt;height:1.65pt;mso-position-horizontal-relative:page;mso-position-vertical-relative:paragraph;z-index:15748096" id="docshape48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394842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89937pt;width:1.65pt;height:1.65pt;mso-position-horizontal-relative:page;mso-position-vertical-relative:paragraph;z-index:15748608" id="docshape49" coordorigin="1675,622" coordsize="33,33" path="m1696,654l1687,654,1683,653,1676,646,1675,643,1675,634,1676,630,1683,623,1687,622,1696,622,1699,623,1706,630,1707,634,1707,638,1707,643,1706,646,1699,653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Vice President, East Bay Trusts and Estates Lawyers (EBTEL), </w:t>
      </w:r>
      <w:r>
        <w:rPr>
          <w:color w:val="6E6158"/>
        </w:rPr>
        <w:t>2022 Secretary, East Bay Trusts and Estates Lawyers (EBTEL), 2021</w:t>
      </w:r>
    </w:p>
    <w:p>
      <w:pPr>
        <w:pStyle w:val="BodyText"/>
        <w:spacing w:line="302" w:lineRule="auto"/>
        <w:ind w:right="2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156723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40467pt;width:1.65pt;height:1.65pt;mso-position-horizontal-relative:page;mso-position-vertical-relative:paragraph;z-index:15749120" id="docshape50" coordorigin="1675,247" coordsize="33,33" path="m1696,279l1687,279,1683,278,1676,271,1675,268,1675,259,1676,255,1683,248,1687,247,1696,247,1699,248,1706,255,1707,259,1707,263,1707,268,1706,271,1699,278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Chair, Estate Planning and Administration Committee, East Bay Trusts and Estates </w:t>
      </w:r>
      <w:r>
        <w:rPr>
          <w:color w:val="6E6158"/>
        </w:rPr>
        <w:t>Lawyers (EBTEL), 2018-2020</w:t>
      </w:r>
    </w:p>
    <w:p>
      <w:pPr>
        <w:pStyle w:val="BodyText"/>
        <w:spacing w:line="292" w:lineRule="auto" w:before="111"/>
        <w:ind w:right="2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223172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572626pt;width:1.65pt;height:1.65pt;mso-position-horizontal-relative:page;mso-position-vertical-relative:paragraph;z-index:15749632" id="docshape51" coordorigin="1675,351" coordsize="33,33" path="m1696,384l1687,384,1683,382,1676,376,1675,372,1675,363,1676,359,1683,353,1687,351,1696,351,1699,353,1706,359,1707,363,1707,368,1707,372,1706,376,1699,382,1696,38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Judicial Appointment Evaluation Committee (JAEC), Alameda County </w:t>
      </w:r>
      <w:r>
        <w:rPr>
          <w:color w:val="6E6158"/>
        </w:rPr>
        <w:t>Bar Association, 2016-2019</w:t>
      </w:r>
    </w:p>
    <w:p>
      <w:pPr>
        <w:pStyle w:val="BodyText"/>
        <w:spacing w:line="427" w:lineRule="auto" w:before="123"/>
        <w:ind w:right="11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143125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972pt;width:1.65pt;height:1.65pt;mso-position-horizontal-relative:page;mso-position-vertical-relative:paragraph;z-index:15750144" id="docshape52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401490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13462pt;width:1.65pt;height:1.65pt;mso-position-horizontal-relative:page;mso-position-vertical-relative:paragraph;z-index:15750656" id="docshape53" coordorigin="1675,632" coordsize="33,33" path="m1696,665l1687,665,1683,663,1676,657,1675,653,1675,644,1676,640,1683,634,1687,632,1696,632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Vice Chair, Trusts and Estates Section, Alameda County Bar Association, 2011-</w:t>
      </w:r>
      <w:r>
        <w:rPr>
          <w:color w:val="6E6158"/>
        </w:rPr>
        <w:t>2014 Volunteer Legal Services, Alameda County Bar Association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60303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48272pt;width:1.65pt;height:1.65pt;mso-position-horizontal-relative:page;mso-position-vertical-relative:paragraph;z-index:15751168" id="docshape54" coordorigin="1675,95" coordsize="33,33" path="m1696,128l1687,128,1683,126,1676,120,1675,116,1675,107,1676,103,1683,97,1687,95,1696,95,1699,97,1706,103,1707,107,1707,111,1707,116,1706,120,1699,126,1696,1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Mentor,</w:t>
      </w:r>
      <w:r>
        <w:rPr>
          <w:color w:val="6E6158"/>
          <w:spacing w:val="15"/>
        </w:rPr>
        <w:t> </w:t>
      </w:r>
      <w:r>
        <w:rPr>
          <w:color w:val="6E6158"/>
        </w:rPr>
        <w:t>Barristers’</w:t>
      </w:r>
      <w:r>
        <w:rPr>
          <w:color w:val="6E6158"/>
          <w:spacing w:val="15"/>
        </w:rPr>
        <w:t> </w:t>
      </w:r>
      <w:r>
        <w:rPr>
          <w:color w:val="6E6158"/>
        </w:rPr>
        <w:t>Mentorship</w:t>
      </w:r>
      <w:r>
        <w:rPr>
          <w:color w:val="6E6158"/>
          <w:spacing w:val="16"/>
        </w:rPr>
        <w:t> </w:t>
      </w:r>
      <w:r>
        <w:rPr>
          <w:color w:val="6E6158"/>
        </w:rPr>
        <w:t>Program,</w:t>
      </w:r>
      <w:r>
        <w:rPr>
          <w:color w:val="6E6158"/>
          <w:spacing w:val="15"/>
        </w:rPr>
        <w:t> </w:t>
      </w:r>
      <w:r>
        <w:rPr>
          <w:color w:val="6E6158"/>
        </w:rPr>
        <w:t>Alameda</w:t>
      </w:r>
      <w:r>
        <w:rPr>
          <w:color w:val="6E6158"/>
          <w:spacing w:val="15"/>
        </w:rPr>
        <w:t> </w:t>
      </w:r>
      <w:r>
        <w:rPr>
          <w:color w:val="6E6158"/>
        </w:rPr>
        <w:t>County</w:t>
      </w:r>
      <w:r>
        <w:rPr>
          <w:color w:val="6E6158"/>
          <w:spacing w:val="16"/>
        </w:rPr>
        <w:t> </w:t>
      </w:r>
      <w:r>
        <w:rPr>
          <w:color w:val="6E6158"/>
        </w:rPr>
        <w:t>Bar</w:t>
      </w:r>
      <w:r>
        <w:rPr>
          <w:color w:val="6E6158"/>
          <w:spacing w:val="15"/>
        </w:rPr>
        <w:t> </w:t>
      </w:r>
      <w:r>
        <w:rPr>
          <w:color w:val="6E6158"/>
        </w:rPr>
        <w:t>Association,</w:t>
      </w:r>
      <w:r>
        <w:rPr>
          <w:color w:val="6E6158"/>
          <w:spacing w:val="15"/>
        </w:rPr>
        <w:t> </w:t>
      </w:r>
      <w:r>
        <w:rPr>
          <w:color w:val="6E6158"/>
        </w:rPr>
        <w:t>2011-</w:t>
      </w:r>
      <w:r>
        <w:rPr>
          <w:color w:val="6E6158"/>
          <w:spacing w:val="-4"/>
        </w:rPr>
        <w:t>2013</w:t>
      </w:r>
    </w:p>
    <w:p>
      <w:pPr>
        <w:pStyle w:val="BodyText"/>
        <w:spacing w:line="292" w:lineRule="auto" w:before="174"/>
        <w:ind w:right="2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263304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32653pt;width:1.65pt;height:1.65pt;mso-position-horizontal-relative:page;mso-position-vertical-relative:paragraph;z-index:15751680" id="docshape55" coordorigin="1675,415" coordsize="33,33" path="m1696,447l1687,447,1683,446,1676,439,1675,435,1675,426,1676,423,1683,416,1687,415,1696,415,1699,416,1706,423,1707,426,1707,431,1707,435,1706,439,1699,446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Mentor, Young Lawyer Mentorship Program, Asian American Bar Association </w:t>
      </w:r>
      <w:r>
        <w:rPr>
          <w:color w:val="6E6158"/>
        </w:rPr>
        <w:t>Mentorship Program, 2011-2013</w:t>
      </w:r>
    </w:p>
    <w:p>
      <w:pPr>
        <w:pStyle w:val="BodyText"/>
        <w:spacing w:line="422" w:lineRule="auto" w:before="132"/>
        <w:ind w:right="48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143252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9762pt;width:1.65pt;height:1.65pt;mso-position-horizontal-relative:page;mso-position-vertical-relative:paragraph;z-index:15752192" id="docshape56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406785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030376pt;width:1.65pt;height:1.65pt;mso-position-horizontal-relative:page;mso-position-vertical-relative:paragraph;z-index:15752704" id="docshape57" coordorigin="1675,641" coordsize="33,33" path="m1696,673l1687,673,1683,672,1676,665,1675,661,1675,652,1676,649,1683,642,1687,641,1696,641,1699,642,1706,649,1707,652,1707,657,1707,661,1706,665,1699,672,1696,6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665151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374119pt;width:1.65pt;height:1.65pt;mso-position-horizontal-relative:page;mso-position-vertical-relative:paragraph;z-index:15753216" id="docshape58" coordorigin="1675,1047" coordsize="33,33" path="m1696,1080l1687,1080,1683,1078,1676,1072,1675,1068,1675,1059,1676,1055,1683,1049,1687,1047,1696,1047,1699,1049,1706,1055,1707,1059,1707,1064,1707,1068,1706,1072,1699,1078,1696,10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923517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2.717888pt;width:1.65pt;height:1.65pt;mso-position-horizontal-relative:page;mso-position-vertical-relative:paragraph;z-index:15753728" id="docshape59" coordorigin="1675,1454" coordsize="33,33" path="m1696,1487l1687,1487,1683,1485,1676,1479,1675,1475,1675,1466,1676,1462,1683,1456,1687,1454,1696,1454,1699,1456,1706,1462,1707,1466,1707,1471,1707,1475,1706,1479,1699,1485,1696,14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0"/>
        </w:rPr>
        <w:t> </w:t>
      </w:r>
      <w:r>
        <w:rPr>
          <w:color w:val="6E6158"/>
        </w:rPr>
        <w:t>California</w:t>
      </w:r>
      <w:r>
        <w:rPr>
          <w:color w:val="6E6158"/>
          <w:spacing w:val="40"/>
        </w:rPr>
        <w:t> </w:t>
      </w:r>
      <w:r>
        <w:rPr>
          <w:color w:val="6E6158"/>
        </w:rPr>
        <w:t>Bar</w:t>
      </w:r>
      <w:r>
        <w:rPr>
          <w:color w:val="6E6158"/>
          <w:spacing w:val="40"/>
        </w:rPr>
        <w:t> </w:t>
      </w:r>
      <w:r>
        <w:rPr>
          <w:color w:val="6E6158"/>
        </w:rPr>
        <w:t>Association Member, San Francisco Bar Association Member, Alameda County Bar Association Member, East Bay Trusts and Estates </w:t>
      </w:r>
      <w:r>
        <w:rPr>
          <w:color w:val="6E6158"/>
        </w:rPr>
        <w:t>Lawyers</w:t>
      </w:r>
    </w:p>
    <w:p>
      <w:pPr>
        <w:pStyle w:val="BodyText"/>
        <w:spacing w:line="229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56664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461787pt;width:1.65pt;height:1.65pt;mso-position-horizontal-relative:page;mso-position-vertical-relative:paragraph;z-index:15754240" id="docshape60" coordorigin="1675,89" coordsize="33,33" path="m1696,122l1687,122,1683,120,1676,114,1675,110,1675,101,1676,97,1683,91,1687,89,1696,89,1699,91,1706,97,1707,101,1707,106,1707,110,1706,114,1699,120,1696,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Asian</w:t>
      </w:r>
      <w:r>
        <w:rPr>
          <w:color w:val="6E6158"/>
          <w:spacing w:val="11"/>
        </w:rPr>
        <w:t> </w:t>
      </w:r>
      <w:r>
        <w:rPr>
          <w:color w:val="6E6158"/>
        </w:rPr>
        <w:t>American</w:t>
      </w:r>
      <w:r>
        <w:rPr>
          <w:color w:val="6E6158"/>
          <w:spacing w:val="10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</w:rPr>
        <w:t>Association,</w:t>
      </w:r>
      <w:r>
        <w:rPr>
          <w:color w:val="6E6158"/>
          <w:spacing w:val="10"/>
        </w:rPr>
        <w:t> </w:t>
      </w:r>
      <w:r>
        <w:rPr>
          <w:color w:val="6E6158"/>
        </w:rPr>
        <w:t>Bay</w:t>
      </w:r>
      <w:r>
        <w:rPr>
          <w:color w:val="6E6158"/>
          <w:spacing w:val="11"/>
        </w:rPr>
        <w:t> </w:t>
      </w:r>
      <w:r>
        <w:rPr>
          <w:color w:val="6E6158"/>
        </w:rPr>
        <w:t>Area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Chapter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0"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157678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5642pt;width:1.65pt;height:1.65pt;mso-position-horizontal-relative:page;mso-position-vertical-relative:paragraph;z-index:15754752" id="docshape61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jtachiki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2025-02-05T17:28:31Z</dcterms:created>
  <dcterms:modified xsi:type="dcterms:W3CDTF">2025-02-05T17:28:31Z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ConvertAPI</vt:lpwstr>
  </property>
</Properties>
</file>