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69" w:right="116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MCCARVILLE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dmccarville@fennemorelaw.com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69" w:right="116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MCCARVILLE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dmccarville@fennemorelaw.com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DAVID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MCCARVILLE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David A. McCarville is a Director at Fennemore, recognized for his strategic expertise in business</w:t>
      </w:r>
      <w:r>
        <w:rPr>
          <w:color w:val="6E6158"/>
          <w:spacing w:val="40"/>
        </w:rPr>
        <w:t> </w:t>
      </w:r>
      <w:r>
        <w:rPr>
          <w:color w:val="6E6158"/>
        </w:rPr>
        <w:t>and finance law, delivering innovative solutions in transactional matters, corporate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due diligence, and succession planning to help clients achieve their goals. He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 advising entrepreneurs, partnerships, and family-owned businesses across a wide</w:t>
      </w:r>
      <w:r>
        <w:rPr>
          <w:color w:val="6E6158"/>
          <w:spacing w:val="40"/>
        </w:rPr>
        <w:t> </w:t>
      </w:r>
      <w:r>
        <w:rPr>
          <w:color w:val="6E6158"/>
        </w:rPr>
        <w:t>range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industries,</w:t>
      </w:r>
      <w:r>
        <w:rPr>
          <w:color w:val="6E6158"/>
          <w:spacing w:val="38"/>
        </w:rPr>
        <w:t> </w:t>
      </w:r>
      <w:r>
        <w:rPr>
          <w:color w:val="6E6158"/>
        </w:rPr>
        <w:t>helping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address</w:t>
      </w:r>
      <w:r>
        <w:rPr>
          <w:color w:val="6E6158"/>
          <w:spacing w:val="38"/>
        </w:rPr>
        <w:t> </w:t>
      </w:r>
      <w:r>
        <w:rPr>
          <w:color w:val="6E6158"/>
        </w:rPr>
        <w:t>complex</w:t>
      </w:r>
      <w:r>
        <w:rPr>
          <w:color w:val="6E6158"/>
          <w:spacing w:val="38"/>
        </w:rPr>
        <w:t> </w:t>
      </w:r>
      <w:r>
        <w:rPr>
          <w:color w:val="6E6158"/>
        </w:rPr>
        <w:t>challenges,</w:t>
      </w:r>
      <w:r>
        <w:rPr>
          <w:color w:val="6E6158"/>
          <w:spacing w:val="38"/>
        </w:rPr>
        <w:t> </w:t>
      </w:r>
      <w:r>
        <w:rPr>
          <w:color w:val="6E6158"/>
        </w:rPr>
        <w:t>optimize</w:t>
      </w:r>
      <w:r>
        <w:rPr>
          <w:color w:val="6E6158"/>
          <w:spacing w:val="38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and achieve their strategic goals.</w:t>
      </w:r>
    </w:p>
    <w:p>
      <w:pPr>
        <w:pStyle w:val="BodyText"/>
        <w:spacing w:line="292" w:lineRule="auto" w:before="187"/>
        <w:ind w:left="104" w:right="494"/>
      </w:pPr>
      <w:r>
        <w:rPr>
          <w:color w:val="6E6158"/>
        </w:rPr>
        <w:t>As Chair of Fennemore Labs, the firm’s technology committee, David leads groundbreaking</w:t>
      </w:r>
      <w:r>
        <w:rPr>
          <w:color w:val="6E6158"/>
          <w:spacing w:val="40"/>
        </w:rPr>
        <w:t> </w:t>
      </w:r>
      <w:r>
        <w:rPr>
          <w:color w:val="6E6158"/>
        </w:rPr>
        <w:t>initiatives to integrate advanced legal technologies, particularly artificial intelligence, into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law,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measurable</w:t>
      </w:r>
      <w:r>
        <w:rPr>
          <w:color w:val="6E6158"/>
          <w:spacing w:val="34"/>
        </w:rPr>
        <w:t> </w:t>
      </w:r>
      <w:r>
        <w:rPr>
          <w:color w:val="6E6158"/>
        </w:rPr>
        <w:t>benefits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reducing</w:t>
      </w:r>
      <w:r>
        <w:rPr>
          <w:color w:val="6E6158"/>
          <w:spacing w:val="34"/>
        </w:rPr>
        <w:t> </w:t>
      </w:r>
      <w:r>
        <w:rPr>
          <w:color w:val="6E6158"/>
        </w:rPr>
        <w:t>client</w:t>
      </w:r>
      <w:r>
        <w:rPr>
          <w:color w:val="6E6158"/>
          <w:spacing w:val="34"/>
        </w:rPr>
        <w:t> </w:t>
      </w:r>
      <w:r>
        <w:rPr>
          <w:color w:val="6E6158"/>
        </w:rPr>
        <w:t>costs,</w:t>
      </w:r>
      <w:r>
        <w:rPr>
          <w:color w:val="6E6158"/>
          <w:spacing w:val="34"/>
        </w:rPr>
        <w:t> </w:t>
      </w:r>
      <w:r>
        <w:rPr>
          <w:color w:val="6E6158"/>
        </w:rPr>
        <w:t>expediting</w:t>
      </w:r>
    </w:p>
    <w:p>
      <w:pPr>
        <w:pStyle w:val="BodyText"/>
        <w:spacing w:line="295" w:lineRule="auto" w:before="10"/>
        <w:ind w:left="104" w:right="494"/>
      </w:pP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transactions,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improving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evolving</w:t>
      </w:r>
      <w:r>
        <w:rPr>
          <w:color w:val="6E6158"/>
          <w:spacing w:val="33"/>
        </w:rPr>
        <w:t> </w:t>
      </w:r>
      <w:r>
        <w:rPr>
          <w:color w:val="6E6158"/>
        </w:rPr>
        <w:t>regulations.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counsels</w:t>
      </w:r>
      <w:r>
        <w:rPr>
          <w:color w:val="6E6158"/>
          <w:spacing w:val="33"/>
        </w:rPr>
        <w:t> </w:t>
      </w:r>
      <w:r>
        <w:rPr>
          <w:color w:val="6E6158"/>
        </w:rPr>
        <w:t>clients on adopting AI and digital asset solutions in a regulatory-compliant manner to enhance</w:t>
      </w:r>
      <w:r>
        <w:rPr>
          <w:color w:val="6E6158"/>
          <w:spacing w:val="40"/>
        </w:rPr>
        <w:t> </w:t>
      </w:r>
      <w:r>
        <w:rPr>
          <w:color w:val="6E6158"/>
        </w:rPr>
        <w:t>operational efficiency, drive innovation, and achieve business growth. His guidance helps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legal landscapes while leveraging emerging technologies to remain</w:t>
      </w:r>
      <w:r>
        <w:rPr>
          <w:color w:val="6E6158"/>
          <w:spacing w:val="40"/>
        </w:rPr>
        <w:t> </w:t>
      </w:r>
      <w:r>
        <w:rPr>
          <w:color w:val="6E6158"/>
        </w:rPr>
        <w:t>competitive in their respective industries.</w:t>
      </w:r>
    </w:p>
    <w:p>
      <w:pPr>
        <w:pStyle w:val="BodyText"/>
        <w:spacing w:line="295" w:lineRule="auto" w:before="195"/>
        <w:ind w:left="104" w:right="612"/>
      </w:pPr>
      <w:r>
        <w:rPr>
          <w:color w:val="6E6158"/>
        </w:rPr>
        <w:t>David is also part of Fennemore’s Mergers and Acquisitions practice. He advises and guides</w:t>
      </w:r>
      <w:r>
        <w:rPr>
          <w:color w:val="6E6158"/>
          <w:spacing w:val="80"/>
        </w:rPr>
        <w:t> </w:t>
      </w:r>
      <w:r>
        <w:rPr>
          <w:color w:val="6E6158"/>
        </w:rPr>
        <w:t>clients through each phase from “negotiations</w:t>
      </w:r>
      <w:r>
        <w:rPr>
          <w:color w:val="6E6158"/>
          <w:spacing w:val="80"/>
        </w:rPr>
        <w:t> </w:t>
      </w:r>
      <w:r>
        <w:rPr>
          <w:color w:val="6E6158"/>
        </w:rPr>
        <w:t>to closing.”</w:t>
      </w:r>
      <w:r>
        <w:rPr>
          <w:color w:val="6E6158"/>
          <w:spacing w:val="80"/>
        </w:rPr>
        <w:t> </w:t>
      </w:r>
      <w:r>
        <w:rPr>
          <w:color w:val="6E6158"/>
        </w:rPr>
        <w:t>He provides deep experience in technology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blockchain,</w:t>
      </w:r>
      <w:r>
        <w:rPr>
          <w:color w:val="6E6158"/>
          <w:spacing w:val="40"/>
        </w:rPr>
        <w:t>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and application of AI to business transactions. This knowledge and expertise can result in a better</w:t>
      </w:r>
      <w:r>
        <w:rPr>
          <w:color w:val="6E6158"/>
          <w:spacing w:val="40"/>
        </w:rPr>
        <w:t> </w:t>
      </w:r>
      <w:r>
        <w:rPr>
          <w:color w:val="6E6158"/>
        </w:rPr>
        <w:t>understanding of the technical components of a proposed transaction and the business being</w:t>
      </w:r>
      <w:r>
        <w:rPr>
          <w:color w:val="6E6158"/>
          <w:spacing w:val="40"/>
        </w:rPr>
        <w:t> </w:t>
      </w:r>
      <w:r>
        <w:rPr>
          <w:color w:val="6E6158"/>
        </w:rPr>
        <w:t>merged or acquired.</w:t>
      </w:r>
      <w:r>
        <w:rPr>
          <w:color w:val="6E6158"/>
          <w:spacing w:val="75"/>
        </w:rPr>
        <w:t> </w:t>
      </w:r>
      <w:r>
        <w:rPr>
          <w:color w:val="6E6158"/>
        </w:rPr>
        <w:t>In addition, by</w:t>
      </w:r>
      <w:r>
        <w:rPr>
          <w:color w:val="6E6158"/>
          <w:spacing w:val="75"/>
        </w:rPr>
        <w:t> </w:t>
      </w:r>
      <w:r>
        <w:rPr>
          <w:color w:val="6E6158"/>
        </w:rPr>
        <w:t>effectively using AI, the M &amp; A process can be streamlined resulting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greater</w:t>
      </w:r>
      <w:r>
        <w:rPr>
          <w:color w:val="6E6158"/>
          <w:spacing w:val="32"/>
        </w:rPr>
        <w:t> </w:t>
      </w:r>
      <w:r>
        <w:rPr>
          <w:color w:val="6E6158"/>
        </w:rPr>
        <w:t>efficiency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possible</w:t>
      </w:r>
      <w:r>
        <w:rPr>
          <w:color w:val="6E6158"/>
          <w:spacing w:val="32"/>
        </w:rPr>
        <w:t> </w:t>
      </w:r>
      <w:r>
        <w:rPr>
          <w:color w:val="6E6158"/>
        </w:rPr>
        <w:t>client</w:t>
      </w:r>
      <w:r>
        <w:rPr>
          <w:color w:val="6E6158"/>
          <w:spacing w:val="32"/>
        </w:rPr>
        <w:t> </w:t>
      </w:r>
      <w:r>
        <w:rPr>
          <w:color w:val="6E6158"/>
        </w:rPr>
        <w:t>cost</w:t>
      </w:r>
      <w:r>
        <w:rPr>
          <w:color w:val="6E6158"/>
          <w:spacing w:val="32"/>
        </w:rPr>
        <w:t> </w:t>
      </w:r>
      <w:r>
        <w:rPr>
          <w:color w:val="6E6158"/>
        </w:rPr>
        <w:t>savings</w:t>
      </w:r>
      <w:r>
        <w:rPr>
          <w:color w:val="6E6158"/>
          <w:spacing w:val="32"/>
        </w:rPr>
        <w:t> </w:t>
      </w:r>
      <w:r>
        <w:rPr>
          <w:color w:val="6E6158"/>
        </w:rPr>
        <w:t>by</w:t>
      </w:r>
      <w:r>
        <w:rPr>
          <w:color w:val="6E6158"/>
          <w:spacing w:val="32"/>
        </w:rPr>
        <w:t> </w:t>
      </w:r>
      <w:r>
        <w:rPr>
          <w:color w:val="6E6158"/>
        </w:rPr>
        <w:t>avoiding</w:t>
      </w:r>
      <w:r>
        <w:rPr>
          <w:color w:val="6E6158"/>
          <w:spacing w:val="32"/>
        </w:rPr>
        <w:t> </w:t>
      </w:r>
      <w:r>
        <w:rPr>
          <w:color w:val="6E6158"/>
        </w:rPr>
        <w:t>duplicative</w:t>
      </w:r>
      <w:r>
        <w:rPr>
          <w:color w:val="6E6158"/>
          <w:spacing w:val="32"/>
        </w:rPr>
        <w:t> </w:t>
      </w:r>
      <w:r>
        <w:rPr>
          <w:color w:val="6E6158"/>
        </w:rPr>
        <w:t>services and tasks.</w:t>
      </w:r>
    </w:p>
    <w:p>
      <w:pPr>
        <w:pStyle w:val="BodyText"/>
        <w:spacing w:line="295" w:lineRule="auto" w:before="198"/>
        <w:ind w:left="104" w:right="571"/>
      </w:pPr>
      <w:r>
        <w:rPr>
          <w:color w:val="6E6158"/>
        </w:rPr>
        <w:t>David’s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extends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blockchain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cryptocurrency,</w:t>
      </w:r>
      <w:r>
        <w:rPr>
          <w:color w:val="6E6158"/>
          <w:spacing w:val="35"/>
        </w:rPr>
        <w:t> </w:t>
      </w:r>
      <w:r>
        <w:rPr>
          <w:color w:val="6E6158"/>
        </w:rPr>
        <w:t>where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helps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navigate the</w:t>
      </w:r>
      <w:r>
        <w:rPr>
          <w:color w:val="6E6158"/>
          <w:spacing w:val="34"/>
        </w:rPr>
        <w:t> </w:t>
      </w:r>
      <w:r>
        <w:rPr>
          <w:color w:val="6E6158"/>
        </w:rPr>
        <w:t>complexities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digital</w:t>
      </w:r>
      <w:r>
        <w:rPr>
          <w:color w:val="6E6158"/>
          <w:spacing w:val="34"/>
        </w:rPr>
        <w:t> </w:t>
      </w:r>
      <w:r>
        <w:rPr>
          <w:color w:val="6E6158"/>
        </w:rPr>
        <w:t>assets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smart</w:t>
      </w:r>
      <w:r>
        <w:rPr>
          <w:color w:val="6E6158"/>
          <w:spacing w:val="34"/>
        </w:rPr>
        <w:t> </w:t>
      </w:r>
      <w:r>
        <w:rPr>
          <w:color w:val="6E6158"/>
        </w:rPr>
        <w:t>contracts,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that improve efficiency and transparency. He is a recognized thought leader in the intersection of</w:t>
      </w:r>
      <w:r>
        <w:rPr>
          <w:color w:val="6E6158"/>
          <w:spacing w:val="40"/>
        </w:rPr>
        <w:t> </w:t>
      </w:r>
      <w:r>
        <w:rPr>
          <w:color w:val="6E6158"/>
        </w:rPr>
        <w:t>technology and law, frequently presenting on topics such as AI, blockchain, and smart contracts</w:t>
      </w:r>
      <w:r>
        <w:rPr>
          <w:color w:val="6E6158"/>
          <w:spacing w:val="80"/>
        </w:rPr>
        <w:t> </w:t>
      </w:r>
      <w:r>
        <w:rPr>
          <w:color w:val="6E6158"/>
        </w:rPr>
        <w:t>at industry conferences and academic institutions.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David is licensed to practice law in Arizona and Massachusetts and has been recognized in The</w:t>
      </w:r>
      <w:r>
        <w:rPr>
          <w:color w:val="6E6158"/>
          <w:spacing w:val="40"/>
        </w:rPr>
        <w:t> </w:t>
      </w:r>
      <w:r>
        <w:rPr>
          <w:color w:val="6E6158"/>
        </w:rPr>
        <w:t>Best</w:t>
      </w:r>
      <w:r>
        <w:rPr>
          <w:color w:val="6E6158"/>
          <w:spacing w:val="30"/>
        </w:rPr>
        <w:t> </w:t>
      </w:r>
      <w:r>
        <w:rPr>
          <w:color w:val="6E6158"/>
        </w:rPr>
        <w:t>Lawyers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America®,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testament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exceptional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acumen,</w:t>
      </w:r>
      <w:r>
        <w:rPr>
          <w:color w:val="6E6158"/>
          <w:spacing w:val="30"/>
        </w:rPr>
        <w:t> </w:t>
      </w:r>
      <w:r>
        <w:rPr>
          <w:color w:val="6E6158"/>
        </w:rPr>
        <w:t>dedication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 w:right="0"/>
      </w:pPr>
      <w:r>
        <w:rPr>
          <w:color w:val="6E6158"/>
        </w:rPr>
        <w:t>success,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innovative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solving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challenges.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5" w:lineRule="auto" w:before="1"/>
        <w:ind w:left="104"/>
      </w:pPr>
      <w:r>
        <w:rPr>
          <w:color w:val="6E6158"/>
        </w:rPr>
        <w:t>In addition to his legal practice, David serves as an adjunct professor at Arizona State </w:t>
      </w:r>
      <w:r>
        <w:rPr>
          <w:color w:val="6E6158"/>
        </w:rPr>
        <w:t>University’s</w:t>
      </w:r>
      <w:r>
        <w:rPr>
          <w:color w:val="6E6158"/>
          <w:spacing w:val="40"/>
        </w:rPr>
        <w:t> </w:t>
      </w:r>
      <w:r>
        <w:rPr>
          <w:color w:val="6E6158"/>
        </w:rPr>
        <w:t>Sandra</w:t>
      </w:r>
      <w:r>
        <w:rPr>
          <w:color w:val="6E6158"/>
          <w:spacing w:val="27"/>
        </w:rPr>
        <w:t> </w:t>
      </w:r>
      <w:r>
        <w:rPr>
          <w:color w:val="6E6158"/>
        </w:rPr>
        <w:t>Day</w:t>
      </w:r>
      <w:r>
        <w:rPr>
          <w:color w:val="6E6158"/>
          <w:spacing w:val="27"/>
        </w:rPr>
        <w:t> </w:t>
      </w:r>
      <w:r>
        <w:rPr>
          <w:color w:val="6E6158"/>
        </w:rPr>
        <w:t>O’Connor</w:t>
      </w:r>
      <w:r>
        <w:rPr>
          <w:color w:val="6E6158"/>
          <w:spacing w:val="27"/>
        </w:rPr>
        <w:t> </w:t>
      </w:r>
      <w:r>
        <w:rPr>
          <w:color w:val="6E6158"/>
        </w:rPr>
        <w:t>College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teaching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course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blockchain and cryptocurrency law and policy since 2018. His publications and presentations focus on the</w:t>
      </w:r>
      <w:r>
        <w:rPr>
          <w:color w:val="6E6158"/>
          <w:spacing w:val="40"/>
        </w:rPr>
        <w:t> </w:t>
      </w:r>
      <w:r>
        <w:rPr>
          <w:color w:val="6E6158"/>
        </w:rPr>
        <w:t>practical and regulatory challenges of integrating cutting-edge technologies into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 frameworks.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701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327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Mason University, Antonin Scalia Law </w:t>
      </w:r>
      <w:r>
        <w:rPr>
          <w:color w:val="6E6158"/>
        </w:rPr>
        <w:t>School</w:t>
      </w:r>
      <w:r>
        <w:rPr>
          <w:color w:val="6E6158"/>
        </w:rPr>
        <w:t> B.A., English Literature, Loyola Marymount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6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965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71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462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</w:t>
      </w:r>
      <w:r>
        <w:rPr>
          <w:color w:val="6E6158"/>
          <w:spacing w:val="80"/>
        </w:rPr>
        <w:t> </w:t>
      </w:r>
      <w:r>
        <w:rPr>
          <w:color w:val="6E6158"/>
        </w:rPr>
        <w:t>Blockchain &amp; </w:t>
      </w:r>
      <w:r>
        <w:rPr>
          <w:color w:val="6E6158"/>
        </w:rPr>
        <w:t>Cryptocurrency Advanced Energy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168450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813pt;width:1.65pt;height:1.65pt;mso-position-horizontal-relative:page;mso-position-vertical-relative:paragraph;z-index:15731712" id="docshape1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183972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6037pt;width:1.65pt;height:1.65pt;mso-position-horizontal-relative:page;mso-position-vertical-relative:paragraph;z-index:15732224" id="docshape13" coordorigin="1675,290" coordsize="33,33" path="m1696,322l1687,322,1683,321,1676,314,1675,310,1675,302,1676,298,1683,291,1687,290,1696,290,1699,291,1706,298,1707,302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Elder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8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173920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513pt;width:1.65pt;height:1.65pt;mso-position-horizontal-relative:page;mso-position-vertical-relative:paragraph;z-index:15732736" id="docshape14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Burton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Law360’s</w:t>
      </w:r>
      <w:r>
        <w:rPr>
          <w:color w:val="6E6158"/>
          <w:spacing w:val="11"/>
        </w:rPr>
        <w:t> </w:t>
      </w:r>
      <w:r>
        <w:rPr>
          <w:color w:val="6E6158"/>
        </w:rPr>
        <w:t>Distinguished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Writing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245710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7267pt;width:1.65pt;height:1.65pt;mso-position-horizontal-relative:page;mso-position-vertical-relative:paragraph;z-index:15733248" id="docshape15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Treasury Suspends Enforcement of Corporate Transparency Act &amp; Proposes Narrowed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Scope</w:t>
        </w:r>
      </w:hyperlink>
      <w:r>
        <w:rPr>
          <w:color w:val="6E6158"/>
        </w:rPr>
        <w:t>,” Greater Phoenix InBusiness, March 6, 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235815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121pt;width:1.65pt;height:1.65pt;mso-position-horizontal-relative:page;mso-position-vertical-relative:paragraph;z-index:15733760" id="docshape1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NIL Agents: The Good, the Bad, and the Unregulated</w:t>
        </w:r>
      </w:hyperlink>
      <w:r>
        <w:rPr>
          <w:color w:val="6E6158"/>
        </w:rPr>
        <w:t>,” Fennemore Blog, March 4,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230912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102pt;width:1.65pt;height:1.65pt;mso-position-horizontal-relative:page;mso-position-vertical-relative:paragraph;z-index:15734272" id="docshape17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Considerations for Arizona businesses as the U.S. signals potential shift toward AI-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based digital assets</w:t>
        </w:r>
      </w:hyperlink>
      <w:r>
        <w:rPr>
          <w:color w:val="6E6158"/>
        </w:rPr>
        <w:t>,” Phoenix Business Journal, March 1, 2025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932pt;width:1.65pt;height:1.65pt;mso-position-horizontal-relative:page;mso-position-vertical-relative:paragraph;z-index:15734784" id="docshape1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A patchwork of name, image and likeness agent regulations leaves </w:t>
        </w:r>
        <w:r>
          <w:rPr>
            <w:color w:val="F5821F"/>
          </w:rPr>
          <w:t>student-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athletes largely unprotected,</w:t>
        </w:r>
      </w:hyperlink>
      <w:r>
        <w:rPr>
          <w:color w:val="6E6158"/>
        </w:rPr>
        <w:t>” Phoenix Business Journal, March 1, 2025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142875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043pt;width:1.65pt;height:1.65pt;mso-position-horizontal-relative:page;mso-position-vertical-relative:paragraph;z-index:15735296" id="docshape1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Lessons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Developing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CTA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Compliance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Application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Law360,</w:t>
      </w:r>
      <w:r>
        <w:rPr>
          <w:color w:val="6E6158"/>
          <w:spacing w:val="12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268221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9825pt;width:1.65pt;height:1.65pt;mso-position-horizontal-relative:page;mso-position-vertical-relative:paragraph;z-index:15735808" id="docshape2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New Administration’s Impact on AI and Digital Assets,” Greater </w:t>
      </w:r>
      <w:r>
        <w:rPr>
          <w:color w:val="6E6158"/>
        </w:rPr>
        <w:t>Phoenix InBusiness, February 2025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224180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991pt;width:1.65pt;height:1.65pt;mso-position-horizontal-relative:page;mso-position-vertical-relative:paragraph;z-index:15736320" id="docshape2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2025 Forecast for the Legislative Session,” Arizona Corporation </w:t>
      </w:r>
      <w:r>
        <w:rPr>
          <w:color w:val="6E6158"/>
        </w:rPr>
        <w:t>Commission, January 31, 2025.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235875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845pt;width:1.65pt;height:1.65pt;mso-position-horizontal-relative:page;mso-position-vertical-relative:paragraph;z-index:15736832" id="docshape2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World of AI:</w:t>
      </w:r>
      <w:r>
        <w:rPr>
          <w:color w:val="6E6158"/>
          <w:spacing w:val="40"/>
        </w:rPr>
        <w:t> </w:t>
      </w:r>
      <w:r>
        <w:rPr>
          <w:color w:val="6E6158"/>
        </w:rPr>
        <w:t>Benefits and Perils for General Counsel,” Arizona Corporation Commission, January 31, 2025.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143128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932pt;width:1.65pt;height:1.65pt;mso-position-horizontal-relative:page;mso-position-vertical-relative:paragraph;z-index:15737344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“Lessons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Developing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CTA</w:t>
      </w:r>
      <w:r>
        <w:rPr>
          <w:color w:val="6E6158"/>
          <w:spacing w:val="11"/>
        </w:rPr>
        <w:t> </w:t>
      </w:r>
      <w:r>
        <w:rPr>
          <w:color w:val="6E6158"/>
        </w:rPr>
        <w:t>Compliance</w:t>
      </w:r>
      <w:r>
        <w:rPr>
          <w:color w:val="6E6158"/>
          <w:spacing w:val="12"/>
        </w:rPr>
        <w:t> </w:t>
      </w:r>
      <w:r>
        <w:rPr>
          <w:color w:val="6E6158"/>
        </w:rPr>
        <w:t>Application,”</w:t>
      </w:r>
      <w:r>
        <w:rPr>
          <w:color w:val="6E6158"/>
          <w:spacing w:val="11"/>
        </w:rPr>
        <w:t> </w:t>
      </w:r>
      <w:r>
        <w:rPr>
          <w:color w:val="6E6158"/>
        </w:rPr>
        <w:t>Law360,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268474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736pt;width:1.65pt;height:1.65pt;mso-position-horizontal-relative:page;mso-position-vertical-relative:paragraph;z-index:15737856" id="docshape24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“Trump’s impact on AI and digital assets: What business owners need to know,” AZ Big Media, January 14, 2025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224432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879pt;width:1.65pt;height:1.65pt;mso-position-horizontal-relative:page;mso-position-vertical-relative:paragraph;z-index:15738368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“Trump’s impact on AI and digital assets: What business owners need to </w:t>
      </w:r>
      <w:r>
        <w:rPr>
          <w:color w:val="6E6158"/>
        </w:rPr>
        <w:t>know,” Arizona Capitol Times, January 13, 2025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880" id="docshape2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6">
        <w:r>
          <w:rPr>
            <w:color w:val="F5821F"/>
          </w:rPr>
          <w:t>What Arizona businesses should know about the incoming administration’s impact </w:t>
        </w:r>
        <w:r>
          <w:rPr>
            <w:color w:val="F5821F"/>
          </w:rPr>
          <w:t>on</w:t>
        </w:r>
      </w:hyperlink>
      <w:r>
        <w:rPr>
          <w:color w:val="F5821F"/>
          <w:spacing w:val="40"/>
        </w:rPr>
        <w:t> </w:t>
      </w:r>
      <w:hyperlink r:id="rId16">
        <w:r>
          <w:rPr>
            <w:color w:val="F5821F"/>
          </w:rPr>
          <w:t>AI and digital assets</w:t>
        </w:r>
      </w:hyperlink>
      <w:r>
        <w:rPr>
          <w:color w:val="6E6158"/>
        </w:rPr>
        <w:t>,” Daily Independent, January 9, 2025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9392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7">
        <w:r>
          <w:rPr>
            <w:color w:val="F5821F"/>
          </w:rPr>
          <w:t>For small business owners in Arizona and elsewhere, Jan. 1 disclosure rule not in</w:t>
        </w:r>
      </w:hyperlink>
      <w:r>
        <w:rPr>
          <w:color w:val="F5821F"/>
          <w:spacing w:val="40"/>
        </w:rPr>
        <w:t> </w:t>
      </w:r>
      <w:hyperlink r:id="rId17">
        <w:r>
          <w:rPr>
            <w:color w:val="F5821F"/>
          </w:rPr>
          <w:t>effect</w:t>
        </w:r>
      </w:hyperlink>
      <w:r>
        <w:rPr>
          <w:color w:val="6E6158"/>
        </w:rPr>
        <w:t>,” AZ Central, December 20, 2024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39904" id="docshape2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“Innovation at Small and Mid-Sized Law Firms,” The Legal Tech Fund Summit, December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0416" id="docshape2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“DEFI, Stable Coins and NFTs, Blockchain and Patents,” Blockchain &amp; Cryptocurrencies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</w:rPr>
        <w:t>Policy</w:t>
      </w:r>
      <w:r>
        <w:rPr>
          <w:color w:val="6E6158"/>
          <w:spacing w:val="15"/>
        </w:rPr>
        <w:t> </w:t>
      </w:r>
      <w:r>
        <w:rPr>
          <w:color w:val="6E6158"/>
        </w:rPr>
        <w:t>Sandra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5"/>
        </w:rPr>
        <w:t> </w:t>
      </w:r>
      <w:r>
        <w:rPr>
          <w:color w:val="6E6158"/>
        </w:rPr>
        <w:t>O’Connor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5"/>
        </w:rPr>
        <w:t> </w:t>
      </w:r>
      <w:r>
        <w:rPr>
          <w:color w:val="6E6158"/>
        </w:rPr>
        <w:t>5,</w:t>
      </w:r>
      <w:r>
        <w:rPr>
          <w:color w:val="6E6158"/>
          <w:spacing w:val="15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0928" id="docshape30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“Hadera AI Working Group: AI, Smart Contracts and Digital Assets,” November 5,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26pt;width:1.65pt;height:1.65pt;mso-position-horizontal-relative:page;mso-position-vertical-relative:paragraph;z-index:15741440" id="docshape3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Chains, Blockchains and Real Estate,” Blockchain &amp; Cryptocurrencies </w:t>
      </w:r>
      <w:r>
        <w:rPr>
          <w:color w:val="6E6158"/>
        </w:rPr>
        <w:t>Law</w:t>
      </w:r>
      <w:r>
        <w:rPr>
          <w:color w:val="6E6158"/>
          <w:spacing w:val="80"/>
        </w:rPr>
        <w:t> </w:t>
      </w:r>
      <w:r>
        <w:rPr>
          <w:color w:val="6E6158"/>
        </w:rPr>
        <w:t>&amp; Policy Sandra Day O’Connor College of Law, October 22, 2024</w:t>
      </w:r>
    </w:p>
    <w:p>
      <w:pPr>
        <w:pStyle w:val="BodyText"/>
        <w:spacing w:line="292" w:lineRule="auto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230902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299pt;width:1.65pt;height:1.65pt;mso-position-horizontal-relative:page;mso-position-vertical-relative:paragraph;z-index:15741952" id="docshape32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 Blockchains and AI,” Blockchain &amp; Cryptocurrencies Law &amp; Policy</w:t>
      </w:r>
      <w:r>
        <w:rPr>
          <w:color w:val="6E6158"/>
          <w:spacing w:val="40"/>
        </w:rPr>
        <w:t> </w:t>
      </w:r>
      <w:r>
        <w:rPr>
          <w:color w:val="6E6158"/>
        </w:rPr>
        <w:t>Sandra Day O’Connor College of Law, October 8, 2024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236247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146pt;width:1.65pt;height:1.65pt;mso-position-horizontal-relative:page;mso-position-vertical-relative:paragraph;z-index:15742464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 – A</w:t>
      </w:r>
      <w:r>
        <w:rPr>
          <w:color w:val="6E6158"/>
          <w:spacing w:val="78"/>
        </w:rPr>
        <w:t> </w:t>
      </w:r>
      <w:r>
        <w:rPr>
          <w:color w:val="6E6158"/>
        </w:rPr>
        <w:t>Case Study,” Blockchain &amp; Cryptocurrencies Law &amp; Policy Sandra Day O’Connor College of Law, September 10, 2024</w:t>
      </w:r>
    </w:p>
    <w:p>
      <w:pPr>
        <w:pStyle w:val="BodyText"/>
        <w:spacing w:line="302" w:lineRule="auto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235877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94pt;width:1.65pt;height:1.65pt;mso-position-horizontal-relative:page;mso-position-vertical-relative:paragraph;z-index:15742976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Ethics of AI in Legal Practice,” Second Western Agricultural &amp; Environmental Law Conference, June 14, 2024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131208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403pt;width:1.65pt;height:1.65pt;mso-position-horizontal-relative:page;mso-position-vertical-relative:paragraph;z-index:15743488" id="docshape3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9"/>
        </w:rPr>
        <w:t> </w:t>
      </w:r>
      <w:r>
        <w:rPr>
          <w:color w:val="6E6158"/>
        </w:rPr>
        <w:t>“SCG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Working</w:t>
      </w:r>
      <w:r>
        <w:rPr>
          <w:color w:val="6E6158"/>
          <w:spacing w:val="10"/>
        </w:rPr>
        <w:t> </w:t>
      </w:r>
      <w:r>
        <w:rPr>
          <w:color w:val="6E6158"/>
        </w:rPr>
        <w:t>Group.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Ethics</w:t>
      </w:r>
      <w:r>
        <w:rPr>
          <w:color w:val="6E6158"/>
          <w:spacing w:val="10"/>
        </w:rPr>
        <w:t> </w:t>
      </w:r>
      <w:r>
        <w:rPr>
          <w:color w:val="6E6158"/>
        </w:rPr>
        <w:t>panel</w:t>
      </w:r>
      <w:r>
        <w:rPr>
          <w:color w:val="6E6158"/>
          <w:spacing w:val="10"/>
        </w:rPr>
        <w:t> </w:t>
      </w:r>
      <w:r>
        <w:rPr>
          <w:color w:val="6E6158"/>
        </w:rPr>
        <w:t>discussion,”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262905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1197pt;width:1.65pt;height:1.65pt;mso-position-horizontal-relative:page;mso-position-vertical-relative:paragraph;z-index:15744000" id="docshape3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“LegalTech Boston: AI, Legal Work Remix and Alternative Fee Arrangements,” </w:t>
      </w:r>
      <w:r>
        <w:rPr>
          <w:color w:val="6E6158"/>
        </w:rPr>
        <w:t>May 17,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235864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033pt;width:1.65pt;height:1.65pt;mso-position-horizontal-relative:page;mso-position-vertical-relative:paragraph;z-index:15744512" id="docshape3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8">
        <w:r>
          <w:rPr>
            <w:color w:val="F5821F"/>
          </w:rPr>
          <w:t>As March Madness concludes, athletes and businesses looking for NIL deals </w:t>
        </w:r>
        <w:r>
          <w:rPr>
            <w:color w:val="F5821F"/>
          </w:rPr>
          <w:t>should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consider these legal risks</w:t>
        </w:r>
      </w:hyperlink>
      <w:r>
        <w:rPr>
          <w:color w:val="6E6158"/>
        </w:rPr>
        <w:t>,” Phoenix Business Journal, April 4, 2024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230962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016pt;width:1.65pt;height:1.65pt;mso-position-horizontal-relative:page;mso-position-vertical-relative:paragraph;z-index:15745024" id="docshape38" coordorigin="1675,364" coordsize="33,33" path="m1696,396l1687,396,1683,395,1676,388,1675,384,1675,376,1676,372,1683,365,1687,364,1696,364,1699,365,1706,372,1707,376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9">
        <w:r>
          <w:rPr>
            <w:color w:val="F5821F"/>
          </w:rPr>
          <w:t>Name, Image and Likeness (NIL) Compensation for Student Athletes</w:t>
        </w:r>
      </w:hyperlink>
      <w:r>
        <w:rPr>
          <w:color w:val="6E6158"/>
        </w:rPr>
        <w:t>,” </w:t>
      </w:r>
      <w:r>
        <w:rPr>
          <w:color w:val="6E6158"/>
        </w:rPr>
        <w:t>Arizona Attorney Magazine, April 4, 2024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143295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126pt;width:1.65pt;height:1.65pt;mso-position-horizontal-relative:page;mso-position-vertical-relative:paragraph;z-index:15745536" id="docshape3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“AI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7"/>
        </w:rPr>
        <w:t> </w:t>
      </w:r>
      <w:r>
        <w:rPr>
          <w:color w:val="6E6158"/>
        </w:rPr>
        <w:t>Tech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House</w:t>
      </w:r>
      <w:r>
        <w:rPr>
          <w:color w:val="6E6158"/>
          <w:spacing w:val="8"/>
        </w:rPr>
        <w:t> </w:t>
      </w:r>
      <w:r>
        <w:rPr>
          <w:color w:val="6E6158"/>
        </w:rPr>
        <w:t>Counsel,”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7"/>
        </w:rPr>
        <w:t> </w:t>
      </w:r>
      <w:r>
        <w:rPr>
          <w:color w:val="6E6158"/>
        </w:rPr>
        <w:t>19,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175082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036pt;width:1.65pt;height:1.65pt;mso-position-horizontal-relative:page;mso-position-vertical-relative:paragraph;z-index:15746048" id="docshape40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433448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780pt;width:1.65pt;height:1.65pt;mso-position-horizontal-relative:page;mso-position-vertical-relative:paragraph;z-index:15746560" id="docshape41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“CLE: Litigation update: Name, Image and Likeness &amp; NCAA,” March 7, 2024 Presenter, “Digital Assets, AI And Technology solutions for Trusts and Estates,” January 16, 2024</w:t>
      </w:r>
    </w:p>
    <w:p>
      <w:pPr>
        <w:pStyle w:val="BodyText"/>
        <w:spacing w:line="30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156595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0322pt;width:1.65pt;height:1.65pt;mso-position-horizontal-relative:page;mso-position-vertical-relative:paragraph;z-index:15747072" id="docshape42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takes aim at financial crime,” Capitol Times, January </w:t>
      </w:r>
      <w:r>
        <w:rPr>
          <w:color w:val="6E6158"/>
        </w:rPr>
        <w:t>12,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223043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62464pt;width:1.65pt;height:1.65pt;mso-position-horizontal-relative:page;mso-position-vertical-relative:paragraph;z-index:15747584" id="docshape43" coordorigin="1675,351" coordsize="33,33" path="m1696,384l1687,384,1683,382,1676,376,1675,372,1675,363,1676,359,1683,353,1687,351,1696,351,1699,353,1706,359,1707,363,1707,368,1707,372,1706,376,1699,382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“Considerations for Business and Student Athletes – Negotiating Name Image </w:t>
      </w:r>
      <w:r>
        <w:rPr>
          <w:color w:val="6E6158"/>
        </w:rPr>
        <w:t>and Likeness Deals,” NIL Deals, January 4,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236008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319pt;width:1.65pt;height:1.65pt;mso-position-horizontal-relative:page;mso-position-vertical-relative:paragraph;z-index:15748096" id="docshape4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Act,” Phoenix Business Journal and Horizon, January 2, 2024</w:t>
      </w:r>
    </w:p>
    <w:p>
      <w:pPr>
        <w:pStyle w:val="BodyText"/>
        <w:spacing w:line="292" w:lineRule="auto" w:before="124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231105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7300pt;width:1.65pt;height:1.65pt;mso-position-horizontal-relative:page;mso-position-vertical-relative:paragraph;z-index:15748608" id="docshape45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to Enhance Economic Transparency in </w:t>
      </w:r>
      <w:r>
        <w:rPr>
          <w:color w:val="6E6158"/>
        </w:rPr>
        <w:t>Business,” Arizona PBS, January 2,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235815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13pt;width:1.65pt;height:1.65pt;mso-position-horizontal-relative:page;mso-position-vertical-relative:paragraph;z-index:15749120" id="docshape4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“Fennemore exec down new Corporate Transparency Act requirements,” </w:t>
      </w:r>
      <w:r>
        <w:rPr>
          <w:color w:val="6E6158"/>
        </w:rPr>
        <w:t>Phoenix Business Journal, January 2, 2024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230912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114pt;width:1.65pt;height:1.65pt;mso-position-horizontal-relative:page;mso-position-vertical-relative:paragraph;z-index:15749632" id="docshape47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prepare for implementation of the Corporate Transparency Act on Jan. 1,” AZ Big Media, December 20, 2023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143246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223pt;width:1.65pt;height:1.65pt;mso-position-horizontal-relative:page;mso-position-vertical-relative:paragraph;z-index:15750144" id="docshape4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1"/>
        </w:rPr>
        <w:t> </w:t>
      </w:r>
      <w:r>
        <w:rPr>
          <w:color w:val="6E6158"/>
        </w:rPr>
        <w:t>“Student</w:t>
      </w:r>
      <w:r>
        <w:rPr>
          <w:color w:val="6E6158"/>
          <w:spacing w:val="11"/>
        </w:rPr>
        <w:t> </w:t>
      </w:r>
      <w:r>
        <w:rPr>
          <w:color w:val="6E6158"/>
        </w:rPr>
        <w:t>Athletes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Getting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</w:rPr>
        <w:t>Name,”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3,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1"/>
        </w:rPr>
        <w:t> </w:t>
      </w:r>
      <w:r>
        <w:rPr>
          <w:color w:val="6E6158"/>
        </w:rPr>
        <w:t>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1168" id="docshape4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“Blockchain Beyond Business: A Look at ASU’S Relationship with </w:t>
      </w:r>
      <w:r>
        <w:rPr>
          <w:color w:val="6E6158"/>
        </w:rPr>
        <w:t>Cybersecurity Technology,” The State Press, March 21, 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1680" id="docshape5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“Legacy Businesses: Setting up baby boomers for success,” Lovin’ Life After </w:t>
      </w:r>
      <w:r>
        <w:rPr>
          <w:color w:val="6E6158"/>
        </w:rPr>
        <w:t>50, November 14, 2022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98pt;width:1.65pt;height:1.65pt;mso-position-horizontal-relative:page;mso-position-vertical-relative:paragraph;z-index:15752192" id="docshape51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2"/>
        </w:rPr>
        <w:t> </w:t>
      </w:r>
      <w:r>
        <w:rPr>
          <w:color w:val="6E6158"/>
        </w:rPr>
        <w:t>”</w:t>
      </w:r>
      <w:r>
        <w:rPr>
          <w:color w:val="6E6158"/>
          <w:spacing w:val="12"/>
        </w:rPr>
        <w:t> </w:t>
      </w:r>
      <w:r>
        <w:rPr>
          <w:color w:val="6E6158"/>
        </w:rPr>
        <w:t>Legacy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55+,”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PBS,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3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693pt;width:1.65pt;height:1.65pt;mso-position-horizontal-relative:page;mso-position-vertical-relative:paragraph;z-index:15752704" id="docshape5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Importance of a Proper Business Exit Strategy,” Next Avenue, September </w:t>
      </w:r>
      <w:r>
        <w:rPr>
          <w:color w:val="6E6158"/>
        </w:rPr>
        <w:t>13,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224114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849pt;width:1.65pt;height:1.65pt;mso-position-horizontal-relative:page;mso-position-vertical-relative:paragraph;z-index:15753216" id="docshape53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Baby Boomers can set up success in the sale of legacy businesses,” </w:t>
      </w:r>
      <w:r>
        <w:rPr>
          <w:color w:val="6E6158"/>
        </w:rPr>
        <w:t>Daily Independent, August 26, 2022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235809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698pt;width:1.65pt;height:1.65pt;mso-position-horizontal-relative:page;mso-position-vertical-relative:paragraph;z-index:15753728" id="docshape5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Arizona Digital Free Press, August 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224153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853pt;width:1.65pt;height:1.65pt;mso-position-horizontal-relative:page;mso-position-vertical-relative:paragraph;z-index:15754240" id="docshape5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</w:t>
      </w:r>
      <w:r>
        <w:rPr>
          <w:color w:val="6E6158"/>
        </w:rPr>
        <w:t>inBusiness, August 2022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235847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7pt;width:1.65pt;height:1.65pt;mso-position-horizontal-relative:page;mso-position-vertical-relative:paragraph;z-index:15754752" id="docshape5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“Experts: Is it OK to pay your employees in Bitcoin?” Daily Independent, June 2, </w:t>
      </w:r>
      <w:r>
        <w:rPr>
          <w:color w:val="6E6158"/>
          <w:spacing w:val="-4"/>
        </w:rPr>
        <w:t>2022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136346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5983pt;width:1.65pt;height:1.65pt;mso-position-horizontal-relative:page;mso-position-vertical-relative:paragraph;z-index:15755264" id="docshape57" coordorigin="1675,215" coordsize="33,33" path="m1696,247l1687,247,1683,246,1676,239,1675,235,1675,227,1676,223,1683,216,1687,215,1696,215,1699,216,1706,223,1707,227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”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OK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employees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Bitcoin?”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Big</w:t>
      </w:r>
      <w:r>
        <w:rPr>
          <w:color w:val="6E6158"/>
          <w:spacing w:val="7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7"/>
        </w:rPr>
        <w:t> </w:t>
      </w:r>
      <w:r>
        <w:rPr>
          <w:color w:val="6E6158"/>
        </w:rPr>
        <w:t>26,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268043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5776pt;width:1.65pt;height:1.65pt;mso-position-horizontal-relative:page;mso-position-vertical-relative:paragraph;z-index:15755776" id="docshape58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“Is it time to start paying your employees in cryptocurrency?” Phoenix </w:t>
      </w:r>
      <w:r>
        <w:rPr>
          <w:color w:val="6E6158"/>
        </w:rPr>
        <w:t>Business Journal, May 24, 2022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224001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7936pt;width:1.65pt;height:1.65pt;mso-position-horizontal-relative:page;mso-position-vertical-relative:paragraph;z-index:15756288" id="docshape59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Purchasing NFT art and sports memorabilia is the rage — but buyer beware,” Phoenix Business Journal, April 20, 2022</w:t>
      </w:r>
    </w:p>
    <w:p>
      <w:pPr>
        <w:pStyle w:val="BodyText"/>
        <w:spacing w:line="427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142684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033pt;width:1.65pt;height:1.65pt;mso-position-horizontal-relative:page;mso-position-vertical-relative:paragraph;z-index:15756800" id="docshape60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401050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78783pt;width:1.65pt;height:1.65pt;mso-position-horizontal-relative:page;mso-position-vertical-relative:paragraph;z-index:15757312" id="docshape61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“So, you want to take your paycheck in bitcoin?” Morning Brew, March 31, 2022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32"/>
        </w:rPr>
        <w:t> </w:t>
      </w:r>
      <w:r>
        <w:rPr>
          <w:color w:val="6E6158"/>
        </w:rPr>
        <w:t>“Britney</w:t>
      </w:r>
      <w:r>
        <w:rPr>
          <w:color w:val="6E6158"/>
          <w:spacing w:val="32"/>
        </w:rPr>
        <w:t> </w:t>
      </w:r>
      <w:r>
        <w:rPr>
          <w:color w:val="6E6158"/>
        </w:rPr>
        <w:t>Spears</w:t>
      </w:r>
      <w:r>
        <w:rPr>
          <w:color w:val="6E6158"/>
          <w:spacing w:val="32"/>
        </w:rPr>
        <w:t> </w:t>
      </w:r>
      <w:r>
        <w:rPr>
          <w:color w:val="6E6158"/>
        </w:rPr>
        <w:t>Conservatorship</w:t>
      </w:r>
      <w:r>
        <w:rPr>
          <w:color w:val="6E6158"/>
          <w:spacing w:val="32"/>
        </w:rPr>
        <w:t> </w:t>
      </w:r>
      <w:r>
        <w:rPr>
          <w:color w:val="6E6158"/>
        </w:rPr>
        <w:t>Hearing,”</w:t>
      </w:r>
      <w:r>
        <w:rPr>
          <w:color w:val="6E6158"/>
          <w:spacing w:val="32"/>
        </w:rPr>
        <w:t> </w:t>
      </w:r>
      <w:r>
        <w:rPr>
          <w:color w:val="6E6158"/>
        </w:rPr>
        <w:t>Fox</w:t>
      </w:r>
      <w:r>
        <w:rPr>
          <w:color w:val="6E6158"/>
          <w:spacing w:val="32"/>
        </w:rPr>
        <w:t> </w:t>
      </w:r>
      <w:r>
        <w:rPr>
          <w:color w:val="6E6158"/>
        </w:rPr>
        <w:t>10</w:t>
      </w:r>
      <w:r>
        <w:rPr>
          <w:color w:val="6E6158"/>
          <w:spacing w:val="32"/>
        </w:rPr>
        <w:t> </w:t>
      </w:r>
      <w:r>
        <w:rPr>
          <w:color w:val="6E6158"/>
        </w:rPr>
        <w:t>Phoenix,</w:t>
      </w:r>
      <w:r>
        <w:rPr>
          <w:color w:val="6E6158"/>
          <w:spacing w:val="32"/>
        </w:rPr>
        <w:t> </w:t>
      </w:r>
      <w:r>
        <w:rPr>
          <w:color w:val="6E6158"/>
        </w:rPr>
        <w:t>November</w:t>
      </w:r>
      <w:r>
        <w:rPr>
          <w:color w:val="6E6158"/>
          <w:spacing w:val="32"/>
        </w:rPr>
        <w:t> </w:t>
      </w:r>
      <w:r>
        <w:rPr>
          <w:color w:val="6E6158"/>
        </w:rPr>
        <w:t>18,</w:t>
      </w:r>
      <w:r>
        <w:rPr>
          <w:color w:val="6E6158"/>
          <w:spacing w:val="32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0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147706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0441pt;width:1.65pt;height:1.65pt;mso-position-horizontal-relative:page;mso-position-vertical-relative:paragraph;z-index:15757824" id="docshape62" coordorigin="1675,233" coordsize="33,33" path="m1696,265l1687,265,1683,264,1676,257,1675,253,1675,244,1676,241,1683,234,1687,233,1696,233,1699,234,1706,241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Why Bitcoin is gaining critical legitimacy as new asset class,” November 9, </w:t>
      </w:r>
      <w:r>
        <w:rPr>
          <w:color w:val="6E6158"/>
          <w:spacing w:val="-4"/>
        </w:rPr>
        <w:t>2021</w:t>
      </w:r>
    </w:p>
    <w:p>
      <w:pPr>
        <w:pStyle w:val="BodyText"/>
        <w:spacing w:line="427" w:lineRule="auto" w:before="116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138144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7551pt;width:1.65pt;height:1.65pt;mso-position-horizontal-relative:page;mso-position-vertical-relative:paragraph;z-index:15758336" id="docshape63" coordorigin="1675,218" coordsize="33,33" path="m1696,250l1687,250,1683,249,1676,242,1675,238,1675,229,1676,225,1683,219,1687,218,1696,218,1699,219,1706,225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396510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21294pt;width:1.65pt;height:1.65pt;mso-position-horizontal-relative:page;mso-position-vertical-relative:paragraph;z-index:15758848" id="docshape64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“Britney Conservatorship Hearing,” Fox 10 Phoenix, August 19, </w:t>
      </w:r>
      <w:r>
        <w:rPr>
          <w:color w:val="6E6158"/>
        </w:rPr>
        <w:t>2021 Quoted, “Britney Conservatorship Hearing,” Fox 10 Phoenix, June 23, 2021</w:t>
      </w: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147611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2974pt;width:1.65pt;height:1.65pt;mso-position-horizontal-relative:page;mso-position-vertical-relative:paragraph;z-index:15759360" id="docshape65" coordorigin="1675,232" coordsize="33,33" path="m1696,265l1687,265,1683,263,1676,257,1675,253,1675,244,1676,240,1683,234,1687,232,1696,232,1699,234,1706,240,1707,244,1707,249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Podcast, “Lessons Learned from the Rich and Famous with David McCarville,” </w:t>
        </w:r>
        <w:r>
          <w:rPr>
            <w:color w:val="FF8100"/>
          </w:rPr>
          <w:t>Fenn.Talks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Podcast, June 17, 2021</w:t>
        </w:r>
      </w:hyperlink>
    </w:p>
    <w:p>
      <w:pPr>
        <w:pStyle w:val="BodyText"/>
        <w:spacing w:before="11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138049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061pt;width:1.65pt;height:1.65pt;mso-position-horizontal-relative:page;mso-position-vertical-relative:paragraph;z-index:15759872" id="docshape6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Center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Paradigm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Shift,”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June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267841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89867pt;width:1.65pt;height:1.65pt;mso-position-horizontal-relative:page;mso-position-vertical-relative:paragraph;z-index:15760384" id="docshape67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David McCarville speaks about the importance of designating a </w:t>
      </w:r>
      <w:r>
        <w:rPr>
          <w:color w:val="6E6158"/>
        </w:rPr>
        <w:t>power</w:t>
      </w:r>
      <w:r>
        <w:rPr>
          <w:color w:val="6E6158"/>
          <w:spacing w:val="80"/>
        </w:rPr>
        <w:t> </w:t>
      </w:r>
      <w:r>
        <w:rPr>
          <w:color w:val="6E6158"/>
        </w:rPr>
        <w:t>of attorney,” Arizona PBS, May 26, 2021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235720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698pt;width:1.65pt;height:1.65pt;mso-position-horizontal-relative:page;mso-position-vertical-relative:paragraph;z-index:15760896" id="docshape68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“Will Bitcoin Ever Be Accepted Widely as a Form of Payment?” GO Banking Rates,</w:t>
      </w:r>
      <w:r>
        <w:rPr>
          <w:color w:val="6E6158"/>
          <w:spacing w:val="40"/>
        </w:rPr>
        <w:t> </w:t>
      </w:r>
      <w:r>
        <w:rPr>
          <w:color w:val="6E6158"/>
        </w:rPr>
        <w:t>April 29, 2021</w:t>
      </w:r>
    </w:p>
    <w:p>
      <w:pPr>
        <w:pStyle w:val="BodyText"/>
        <w:spacing w:line="283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224064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862pt;width:1.65pt;height:1.65pt;mso-position-horizontal-relative:page;mso-position-vertical-relative:paragraph;z-index:15761408" id="docshape69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“Twitter CEO Jack Dorsey’s first tweet sold for $2.9 million on Sunday. The buyer said</w:t>
      </w:r>
      <w:r>
        <w:rPr>
          <w:color w:val="6E6158"/>
          <w:spacing w:val="40"/>
        </w:rPr>
        <w:t> </w:t>
      </w:r>
      <w:r>
        <w:rPr>
          <w:color w:val="6E6158"/>
        </w:rPr>
        <w:t>it’s the Mona Lisa of tweets,” </w:t>
      </w:r>
      <w:r>
        <w:rPr>
          <w:i/>
          <w:color w:val="6E6158"/>
          <w:sz w:val="20"/>
        </w:rPr>
        <w:t>Insider, </w:t>
      </w:r>
      <w:r>
        <w:rPr>
          <w:color w:val="6E6158"/>
        </w:rPr>
        <w:t>March 24, 2021</w:t>
      </w:r>
    </w:p>
    <w:p>
      <w:pPr>
        <w:pStyle w:val="BodyText"/>
        <w:spacing w:line="302" w:lineRule="auto" w:before="127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238406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215pt;width:1.65pt;height:1.65pt;mso-position-horizontal-relative:page;mso-position-vertical-relative:paragraph;z-index:15761920" id="docshape70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Author, “Hospitals Required to Provide Patients With Transparent Pricing,”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Alert, September 2, 2020</w:t>
        </w:r>
      </w:hyperlink>
    </w:p>
    <w:p>
      <w:pPr>
        <w:pStyle w:val="BodyText"/>
        <w:spacing w:before="10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131197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547pt;width:1.65pt;height:1.65pt;mso-position-horizontal-relative:page;mso-position-vertical-relative:paragraph;z-index:15762432" id="docshape7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“Why</w:t>
      </w:r>
      <w:r>
        <w:rPr>
          <w:color w:val="6E6158"/>
          <w:spacing w:val="8"/>
        </w:rPr>
        <w:t> </w:t>
      </w:r>
      <w:r>
        <w:rPr>
          <w:color w:val="6E6158"/>
        </w:rPr>
        <w:t>Do</w:t>
      </w:r>
      <w:r>
        <w:rPr>
          <w:color w:val="6E6158"/>
          <w:spacing w:val="8"/>
        </w:rPr>
        <w:t> </w:t>
      </w:r>
      <w:r>
        <w:rPr>
          <w:color w:val="6E6158"/>
        </w:rPr>
        <w:t>Enterprise</w:t>
      </w:r>
      <w:r>
        <w:rPr>
          <w:color w:val="6E6158"/>
          <w:spacing w:val="8"/>
        </w:rPr>
        <w:t> </w:t>
      </w:r>
      <w:r>
        <w:rPr>
          <w:color w:val="6E6158"/>
        </w:rPr>
        <w:t>Blockchain</w:t>
      </w:r>
      <w:r>
        <w:rPr>
          <w:color w:val="6E6158"/>
          <w:spacing w:val="8"/>
        </w:rPr>
        <w:t> </w:t>
      </w:r>
      <w:r>
        <w:rPr>
          <w:color w:val="6E6158"/>
        </w:rPr>
        <w:t>Systems</w:t>
      </w:r>
      <w:r>
        <w:rPr>
          <w:color w:val="6E6158"/>
          <w:spacing w:val="8"/>
        </w:rPr>
        <w:t> </w:t>
      </w:r>
      <w:r>
        <w:rPr>
          <w:color w:val="6E6158"/>
        </w:rPr>
        <w:t>Fail?</w:t>
      </w:r>
      <w:r>
        <w:rPr>
          <w:color w:val="6E6158"/>
          <w:spacing w:val="8"/>
        </w:rPr>
        <w:t> </w:t>
      </w:r>
      <w:r>
        <w:rPr>
          <w:color w:val="6E6158"/>
        </w:rPr>
        <w:t>(Exclusive),”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E-Crypto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2" w:after="7"/>
        <w:ind w:right="0"/>
      </w:pPr>
      <w:r>
        <w:rPr>
          <w:color w:val="6E6158"/>
        </w:rPr>
        <w:t>Quoted,</w:t>
      </w:r>
      <w:r>
        <w:rPr>
          <w:color w:val="6E6158"/>
          <w:spacing w:val="16"/>
        </w:rPr>
        <w:t> </w:t>
      </w:r>
      <w:r>
        <w:rPr>
          <w:color w:val="6E6158"/>
        </w:rPr>
        <w:t>“Demystifying</w:t>
      </w:r>
      <w:r>
        <w:rPr>
          <w:color w:val="6E6158"/>
          <w:spacing w:val="16"/>
        </w:rPr>
        <w:t> </w:t>
      </w:r>
      <w:r>
        <w:rPr>
          <w:color w:val="6E6158"/>
        </w:rPr>
        <w:t>Cryptocurrencies:</w:t>
      </w:r>
      <w:r>
        <w:rPr>
          <w:color w:val="6E6158"/>
          <w:spacing w:val="16"/>
        </w:rPr>
        <w:t> </w:t>
      </w:r>
      <w:r>
        <w:rPr>
          <w:color w:val="6E6158"/>
        </w:rPr>
        <w:t>Promise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Potential</w:t>
      </w:r>
      <w:r>
        <w:rPr>
          <w:color w:val="6E6158"/>
          <w:spacing w:val="16"/>
        </w:rPr>
        <w:t> </w:t>
      </w:r>
      <w:r>
        <w:rPr>
          <w:color w:val="6E6158"/>
        </w:rPr>
        <w:t>Lead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Growing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Appeal,”</w:t>
      </w:r>
    </w:p>
    <w:p>
      <w:pPr>
        <w:pStyle w:val="BodyText"/>
        <w:spacing w:line="32" w:lineRule="exact" w:before="0"/>
        <w:ind w:left="234" w:right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2" coordorigin="0,0" coordsize="33,33">
                <v:shape style="position:absolute;left:0;top:0;width:33;height:33" id="docshape7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Destination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CRM,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2944" id="docshape74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“Key Blockchain Concepts for Corporate Counsel,” Association of </w:t>
      </w:r>
      <w:r>
        <w:rPr>
          <w:color w:val="6E6158"/>
        </w:rPr>
        <w:t>Corporate Counsel, March 12, 2020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63456" id="docshape7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the Practice of Law and Blockchain Technology,” ASU Law School: Blockchain and Cryptocurrency Law and Policy, December 2, 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98pt;width:1.65pt;height:1.65pt;mso-position-horizontal-relative:page;mso-position-vertical-relative:paragraph;z-index:15763968" id="docshape76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“Blockchain</w:t>
      </w:r>
      <w:r>
        <w:rPr>
          <w:color w:val="6E6158"/>
          <w:spacing w:val="8"/>
        </w:rPr>
        <w:t> </w:t>
      </w:r>
      <w:r>
        <w:rPr>
          <w:color w:val="6E6158"/>
        </w:rPr>
        <w:t>Technology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Tool,”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</w:rPr>
        <w:t>November</w:t>
      </w:r>
      <w:r>
        <w:rPr>
          <w:color w:val="6E6158"/>
          <w:spacing w:val="9"/>
        </w:rPr>
        <w:t> </w:t>
      </w:r>
      <w:r>
        <w:rPr>
          <w:color w:val="6E6158"/>
        </w:rPr>
        <w:t>21,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693pt;width:1.65pt;height:1.65pt;mso-position-horizontal-relative:page;mso-position-vertical-relative:paragraph;z-index:15764480" id="docshape7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for Lawyers,” Lawyers Networking Group Continuing Legal </w:t>
      </w:r>
      <w:r>
        <w:rPr>
          <w:color w:val="6E6158"/>
        </w:rPr>
        <w:t>Education, October 23, 2019</w:t>
      </w:r>
    </w:p>
    <w:p>
      <w:pPr>
        <w:pStyle w:val="BodyText"/>
        <w:spacing w:line="292" w:lineRule="auto"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224114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849pt;width:1.65pt;height:1.65pt;mso-position-horizontal-relative:page;mso-position-vertical-relative:paragraph;z-index:15764992" id="docshape78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 and Real Estate Applications,” ASU Law School: Blockchain </w:t>
      </w:r>
      <w:r>
        <w:rPr>
          <w:color w:val="6E6158"/>
        </w:rPr>
        <w:t>and Cryptocurrency Law and Policy, October 21, 2019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235809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698pt;width:1.65pt;height:1.65pt;mso-position-horizontal-relative:page;mso-position-vertical-relative:paragraph;z-index:15765504" id="docshape7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23,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224153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853pt;width:1.65pt;height:1.65pt;mso-position-horizontal-relative:page;mso-position-vertical-relative:paragraph;z-index:15766016" id="docshape8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26,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235847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7pt;width:1.65pt;height:1.65pt;mso-position-horizontal-relative:page;mso-position-vertical-relative:paragraph;z-index:15766528" id="docshape8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2019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224191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859pt;width:1.65pt;height:1.65pt;mso-position-horizontal-relative:page;mso-position-vertical-relative:paragraph;z-index:15767040" id="docshape8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Comerica Bank, August </w:t>
      </w:r>
      <w:r>
        <w:rPr>
          <w:color w:val="6E6158"/>
        </w:rPr>
        <w:t>20, </w:t>
      </w:r>
      <w:r>
        <w:rPr>
          <w:color w:val="6E6158"/>
          <w:spacing w:val="-4"/>
        </w:rPr>
        <w:t>2019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142874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957pt;width:1.65pt;height:1.65pt;mso-position-horizontal-relative:page;mso-position-vertical-relative:paragraph;z-index:15767552" id="docshape8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Great</w:t>
      </w:r>
      <w:r>
        <w:rPr>
          <w:color w:val="6E6158"/>
          <w:spacing w:val="12"/>
        </w:rPr>
        <w:t> </w:t>
      </w:r>
      <w:r>
        <w:rPr>
          <w:color w:val="6E6158"/>
        </w:rPr>
        <w:t>West</w:t>
      </w:r>
      <w:r>
        <w:rPr>
          <w:color w:val="6E6158"/>
          <w:spacing w:val="12"/>
        </w:rPr>
        <w:t> </w:t>
      </w:r>
      <w:r>
        <w:rPr>
          <w:color w:val="6E6158"/>
        </w:rPr>
        <w:t>Financial,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263140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751pt;width:1.65pt;height:1.65pt;mso-position-horizontal-relative:page;mso-position-vertical-relative:paragraph;z-index:15768064" id="docshape8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“Blockchain: From Digital Currency to Smart Contracts and Beyond,” Arizona State Bar Convention, June 27, 2019</w:t>
      </w:r>
    </w:p>
    <w:p>
      <w:pPr>
        <w:pStyle w:val="BodyText"/>
        <w:spacing w:line="302" w:lineRule="auto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236100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599pt;width:1.65pt;height:1.65pt;mso-position-horizontal-relative:page;mso-position-vertical-relative:paragraph;z-index:15768576" id="docshape8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“Industrial Hemp Market and Regulatory Overview,” Commerce Bank of </w:t>
      </w:r>
      <w:r>
        <w:rPr>
          <w:color w:val="6E6158"/>
        </w:rPr>
        <w:t>Arizona, June 25, 2019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224444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766pt;width:1.65pt;height:1.65pt;mso-position-horizontal-relative:page;mso-position-vertical-relative:paragraph;z-index:15769088" id="docshape8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Pinnacle Peak Luxury </w:t>
      </w:r>
      <w:r>
        <w:rPr>
          <w:color w:val="6E6158"/>
        </w:rPr>
        <w:t>Home Tour, June 7,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236138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597pt;width:1.65pt;height:1.65pt;mso-position-horizontal-relative:page;mso-position-vertical-relative:paragraph;z-index:15769600" id="docshape8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Walt Danley </w:t>
      </w:r>
      <w:r>
        <w:rPr>
          <w:color w:val="6E6158"/>
        </w:rPr>
        <w:t>Christie’s International Real Estate, April 24, 2019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136637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889pt;width:1.65pt;height:1.65pt;mso-position-horizontal-relative:page;mso-position-vertical-relative:paragraph;z-index:15770112" id="docshape88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“Pitfalls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7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263166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1800pt;width:1.65pt;height:1.65pt;mso-position-horizontal-relative:page;mso-position-vertical-relative:paragraph;z-index:15770624" id="docshape8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Blockchain for Bright Beginners,” ASU Arkfield e-Discovery and </w:t>
      </w:r>
      <w:r>
        <w:rPr>
          <w:color w:val="6E6158"/>
        </w:rPr>
        <w:t>Digital Evidence Conference, March 6,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236126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655pt;width:1.65pt;height:1.65pt;mso-position-horizontal-relative:page;mso-position-vertical-relative:paragraph;z-index:15771136" id="docshape9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“Smart Contracts and Blockchain Subcommittee,” American Bar </w:t>
      </w:r>
      <w:r>
        <w:rPr>
          <w:color w:val="6E6158"/>
        </w:rPr>
        <w:t>Association Cyberspace Law Institute and Winter Working Meeting, January 24, 2019</w:t>
      </w:r>
    </w:p>
    <w:p>
      <w:pPr>
        <w:pStyle w:val="BodyText"/>
        <w:ind w:right="0"/>
      </w:pPr>
      <w:r>
        <w:rPr>
          <w:color w:val="6E6158"/>
        </w:rPr>
        <w:t>Panelist,</w:t>
      </w:r>
      <w:r>
        <w:rPr>
          <w:color w:val="6E6158"/>
          <w:spacing w:val="17"/>
        </w:rPr>
        <w:t> </w:t>
      </w:r>
      <w:r>
        <w:rPr>
          <w:color w:val="6E6158"/>
        </w:rPr>
        <w:t>“Smart</w:t>
      </w:r>
      <w:r>
        <w:rPr>
          <w:color w:val="6E6158"/>
          <w:spacing w:val="17"/>
        </w:rPr>
        <w:t> </w:t>
      </w:r>
      <w:r>
        <w:rPr>
          <w:color w:val="6E6158"/>
        </w:rPr>
        <w:t>Contracts,</w:t>
      </w:r>
      <w:r>
        <w:rPr>
          <w:color w:val="6E6158"/>
          <w:spacing w:val="18"/>
        </w:rPr>
        <w:t> </w:t>
      </w:r>
      <w:r>
        <w:rPr>
          <w:color w:val="6E6158"/>
        </w:rPr>
        <w:t>Logistics,</w:t>
      </w:r>
      <w:r>
        <w:rPr>
          <w:color w:val="6E6158"/>
          <w:spacing w:val="17"/>
        </w:rPr>
        <w:t> </w: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Implications,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Future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Applications,”</w:t>
      </w:r>
    </w:p>
    <w:p>
      <w:pPr>
        <w:pStyle w:val="BodyText"/>
        <w:spacing w:line="292" w:lineRule="auto" w:before="60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97569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2675pt;width:1.65pt;height:1.65pt;mso-position-horizontal-relative:page;mso-position-vertical-relative:paragraph;z-index:15771648" id="docshape91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Technology Council and Arizona Cyber Threat Response Alliance 2018 </w:t>
      </w:r>
      <w:r>
        <w:rPr>
          <w:color w:val="6E6158"/>
        </w:rPr>
        <w:t>Cybersecurity Lunch Forum, December 12, 2018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230764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401pt;width:1.65pt;height:1.65pt;mso-position-horizontal-relative:page;mso-position-vertical-relative:paragraph;z-index:15772160" id="docshape9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Blockchain,” ASU Law School: Blockchain and Cryptocurrency </w:t>
      </w:r>
      <w:r>
        <w:rPr>
          <w:color w:val="6E6158"/>
        </w:rPr>
        <w:t>Law and Policy, November 20, 2018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236108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23pt;width:1.65pt;height:1.65pt;mso-position-horizontal-relative:page;mso-position-vertical-relative:paragraph;z-index:15772672" id="docshape9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“International Use Cases for Blockchain and Cryptocurrencies,” ASU Law </w:t>
      </w:r>
      <w:r>
        <w:rPr>
          <w:color w:val="6E6158"/>
        </w:rPr>
        <w:t>School: Blockchain and Cryptocurrency Law and Policy, November 6, 2018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230571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5214pt;width:1.65pt;height:1.65pt;mso-position-horizontal-relative:page;mso-position-vertical-relative:paragraph;z-index:15773184" id="docshape94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Technology in Real Estate and Supply Chain/Logistics,” ASU </w:t>
      </w:r>
      <w:r>
        <w:rPr>
          <w:color w:val="6E6158"/>
        </w:rPr>
        <w:t>Law School: Blockchain and Cryptocurrency Law and Policy, October 16, 2018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142904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324pt;width:1.65pt;height:1.65pt;mso-position-horizontal-relative:page;mso-position-vertical-relative:paragraph;z-index:15773696" id="docshape9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“Pitfalls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8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4208" id="docshape96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Legal Impacts of Blockchain Technology,” Arizona State Bar </w:t>
      </w:r>
      <w:r>
        <w:rPr>
          <w:color w:val="6E6158"/>
        </w:rPr>
        <w:t>Intellectual Property Section, October 16, 2018</w:t>
      </w:r>
    </w:p>
    <w:p>
      <w:pPr>
        <w:pStyle w:val="BodyText"/>
        <w:spacing w:line="292" w:lineRule="auto" w:before="132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74720" id="docshape9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25, 2018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75232" id="docshape9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Scottsdale Estate </w:t>
      </w:r>
      <w:r>
        <w:rPr>
          <w:color w:val="6E6158"/>
        </w:rPr>
        <w:t>Planners, September 13, 2018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1pt;width:1.65pt;height:1.65pt;mso-position-horizontal-relative:page;mso-position-vertical-relative:paragraph;z-index:15775744" id="docshape9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28, 2018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94pt;width:1.65pt;height:1.65pt;mso-position-horizontal-relative:page;mso-position-vertical-relative:paragraph;z-index:15776256" id="docshape100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2018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42pt;width:1.65pt;height:1.65pt;mso-position-horizontal-relative:page;mso-position-vertical-relative:paragraph;z-index:15776768" id="docshape10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Maricopa Country Bar </w:t>
      </w:r>
      <w:r>
        <w:rPr>
          <w:color w:val="6E6158"/>
        </w:rPr>
        <w:t>Association, June 1, 2018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143059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54pt;width:1.65pt;height:1.65pt;mso-position-horizontal-relative:page;mso-position-vertical-relative:paragraph;z-index:15777280" id="docshape10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Finemark</w:t>
      </w:r>
      <w:r>
        <w:rPr>
          <w:color w:val="6E6158"/>
          <w:spacing w:val="12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Bank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Trust,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21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4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157522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318pt;width:1.65pt;height:1.65pt;mso-position-horizontal-relative:page;mso-position-vertical-relative:paragraph;z-index:15777792" id="docshape10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415887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066pt;width:1.65pt;height:1.65pt;mso-position-horizontal-relative:page;mso-position-vertical-relative:paragraph;z-index:15778304" id="docshape104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Member, State Bar of Arizona</w:t>
      </w:r>
    </w:p>
    <w:p>
      <w:pPr>
        <w:pStyle w:val="BodyText"/>
        <w:spacing w:line="420" w:lineRule="auto" w:before="0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63890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724pt;width:1.65pt;height:1.65pt;mso-position-horizontal-relative:page;mso-position-vertical-relative:paragraph;z-index:15778816" id="docshape10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322255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472pt;width:1.65pt;height:1.65pt;mso-position-horizontal-relative:page;mso-position-vertical-relative:paragraph;z-index:15779328" id="docshape10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Sandra Day O’Connor College of Law, Arizona State </w:t>
      </w:r>
      <w:r>
        <w:rPr>
          <w:color w:val="6E6158"/>
        </w:rPr>
        <w:t>University Member, Advisory Board, The Legal Tech Fund Summit</w:t>
      </w:r>
    </w:p>
    <w:p>
      <w:pPr>
        <w:pStyle w:val="BodyText"/>
        <w:spacing w:line="420" w:lineRule="auto" w:before="5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62880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1254pt;width:1.65pt;height:1.65pt;mso-position-horizontal-relative:page;mso-position-vertical-relative:paragraph;z-index:15779840" id="docshape10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326413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188pt;width:1.65pt;height:1.65pt;mso-position-horizontal-relative:page;mso-position-vertical-relative:paragraph;z-index:15780352" id="docshape108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584779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45616pt;width:1.65pt;height:1.65pt;mso-position-horizontal-relative:page;mso-position-vertical-relative:paragraph;z-index:15780864" id="docshape109" coordorigin="1675,921" coordsize="33,33" path="m1696,953l1687,953,1683,952,1676,946,1675,942,1675,933,1676,929,1683,923,1687,921,1696,921,1699,923,1706,929,1707,933,1707,937,1707,942,1706,946,1699,952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Society of St. Vincent </w:t>
      </w:r>
      <w:r>
        <w:rPr>
          <w:color w:val="6E6158"/>
        </w:rPr>
        <w:t>DePaul Volunteer, St. Mary’s Food Bank Volunteer, Tempe Junior Crew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63359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8933pt;width:1.65pt;height:1.65pt;mso-position-horizontal-relative:page;mso-position-vertical-relative:paragraph;z-index:15781376" id="docshape11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Feeding</w:t>
      </w:r>
      <w:r>
        <w:rPr>
          <w:color w:val="6E6158"/>
          <w:spacing w:val="13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before="18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175312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173pt;width:1.65pt;height:1.65pt;mso-position-horizontal-relative:page;mso-position-vertical-relative:paragraph;z-index:15781888" id="docshape11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157988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068pt;width:1.65pt;height:1.65pt;mso-position-horizontal-relative:page;mso-position-vertical-relative:paragraph;z-index:15782400" id="docshape1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416354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810pt;width:1.65pt;height:1.65pt;mso-position-horizontal-relative:page;mso-position-vertical-relative:paragraph;z-index:15782912" id="docshape1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Massachusetts</w:t>
      </w:r>
    </w:p>
    <w:p>
      <w:pPr>
        <w:pStyle w:val="BodyText"/>
        <w:spacing w:before="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63634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587pt;width:1.65pt;height:1.65pt;mso-position-horizontal-relative:page;mso-position-vertical-relative:paragraph;z-index:15783424" id="docshape11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5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mccarville@fennemorelaw.com" TargetMode="External"/><Relationship Id="rId11" Type="http://schemas.openxmlformats.org/officeDocument/2006/relationships/hyperlink" Target="https://inbusinessphx.com/government-compliance/treasury-suspends-enforcement-of-corporate-transparency-act-proposes-narrowed-scope" TargetMode="External"/><Relationship Id="rId12" Type="http://schemas.openxmlformats.org/officeDocument/2006/relationships/hyperlink" Target="https://www.fennemorelaw.com/nil-agents-the-good-the-bad-and-the-unregulated/" TargetMode="External"/><Relationship Id="rId13" Type="http://schemas.openxmlformats.org/officeDocument/2006/relationships/hyperlink" Target="https://www.bizjournals.com/phoenix/news/2025/03/01/considerations-arizona-businesses-ai-digital-asset.html" TargetMode="External"/><Relationship Id="rId14" Type="http://schemas.openxmlformats.org/officeDocument/2006/relationships/hyperlink" Target="https://www.bizjournals.com/phoenix/news/2025/03/01/name-image-likeness-regulations-student-athletes.html" TargetMode="External"/><Relationship Id="rId15" Type="http://schemas.openxmlformats.org/officeDocument/2006/relationships/hyperlink" Target="https://www.fennemorelaw.com/lessons-from-developing-a-cta-compliance-application/" TargetMode="External"/><Relationship Id="rId16" Type="http://schemas.openxmlformats.org/officeDocument/2006/relationships/hyperlink" Target="https://www.yourvalley.net/stories/what-arizona-businesses-should-know-about-the-incoming-administrations-impact-on-ai-and-digital%2C556662" TargetMode="External"/><Relationship Id="rId17" Type="http://schemas.openxmlformats.org/officeDocument/2006/relationships/hyperlink" Target="https://www.azcentral.com/story/money/business/2024/12/20/small-businesses-file-new-form-by-deadline-or-face-fine/77052388007/" TargetMode="External"/><Relationship Id="rId18" Type="http://schemas.openxmlformats.org/officeDocument/2006/relationships/hyperlink" Target="https://www.bizjournals.com/phoenix/news/2024/04/04/march-madness-athletes-nil-deals-legal-risks.html" TargetMode="External"/><Relationship Id="rId19" Type="http://schemas.openxmlformats.org/officeDocument/2006/relationships/hyperlink" Target="https://www.azattorneymag-digital.com/azattorneymag/library/item/202404/4184989/" TargetMode="External"/><Relationship Id="rId20" Type="http://schemas.openxmlformats.org/officeDocument/2006/relationships/hyperlink" Target="https://www.youtube.com/watch?v=eI9tAyKuJOk" TargetMode="External"/><Relationship Id="rId21" Type="http://schemas.openxmlformats.org/officeDocument/2006/relationships/hyperlink" Target="https://www.fennemorelaw.com/insights/blogs/2021/at-the-center-of-a-paradigm-shift" TargetMode="External"/><Relationship Id="rId22" Type="http://schemas.openxmlformats.org/officeDocument/2006/relationships/hyperlink" Target="https://www.fennemorelaw.com/insights/newsletters/2020/hospitals-required-to-provide-patients-with-transparent-pric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2025-03-28T15:35:03Z</dcterms:created>
  <dcterms:modified xsi:type="dcterms:W3CDTF">2025-03-28T15:35:03Z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