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34468" y="763308"/>
                            <a:ext cx="14433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523" w:right="18" w:hanging="524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JACKSON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WASTE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48840" y="2500373"/>
                            <a:ext cx="1414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jwaste@fennemorelaw.com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06989" y="3756030"/>
                            <a:ext cx="26689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Nobody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except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bullfighters.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-Quote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Hemingway’s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“The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Rises.”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42938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J.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JACKSON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WASTE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79;top:1762;width:227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523" w:right="18" w:hanging="524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JACKSON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WASTE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559.446.3203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02;top:4497;width:222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jwaste@fennemorelaw.com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29;top:6475;width:4203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Nobody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their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life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except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bullfighters.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-Quote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Hemingway’s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“The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Also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Rises.”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251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J.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JACKSON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WASTE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216"/>
      </w:pPr>
      <w:r>
        <w:rPr>
          <w:color w:val="6E6158"/>
        </w:rPr>
        <w:t>Jackson Waste is a director in our firm’s Business Litigation practice group who works out of our</w:t>
      </w:r>
      <w:r>
        <w:rPr>
          <w:color w:val="6E6158"/>
          <w:spacing w:val="40"/>
        </w:rPr>
        <w:t> </w:t>
      </w:r>
      <w:r>
        <w:rPr>
          <w:color w:val="6E6158"/>
        </w:rPr>
        <w:t>Fresno office.</w:t>
      </w:r>
      <w:r>
        <w:rPr>
          <w:color w:val="6E6158"/>
          <w:spacing w:val="80"/>
        </w:rPr>
        <w:t> </w:t>
      </w:r>
      <w:r>
        <w:rPr>
          <w:color w:val="6E6158"/>
        </w:rPr>
        <w:t>He has served as lead counsel in numerous complex, high-value cases across California. His broad-based litigation and financial restructuring practice operates at the</w:t>
      </w:r>
      <w:r>
        <w:rPr>
          <w:color w:val="6E6158"/>
          <w:spacing w:val="40"/>
        </w:rPr>
        <w:t> </w:t>
      </w:r>
      <w:r>
        <w:rPr>
          <w:color w:val="6E6158"/>
        </w:rPr>
        <w:t>intersection of law and finance, where he utilizes his knowledge of legal remedies and financial</w:t>
      </w:r>
      <w:r>
        <w:rPr>
          <w:color w:val="6E6158"/>
          <w:spacing w:val="40"/>
        </w:rPr>
        <w:t> </w:t>
      </w:r>
      <w:r>
        <w:rPr>
          <w:color w:val="6E6158"/>
        </w:rPr>
        <w:t>concepts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craft</w:t>
      </w:r>
      <w:r>
        <w:rPr>
          <w:color w:val="6E6158"/>
          <w:spacing w:val="13"/>
        </w:rPr>
        <w:t> </w:t>
      </w:r>
      <w:r>
        <w:rPr>
          <w:color w:val="6E6158"/>
        </w:rPr>
        <w:t>efficient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effective</w:t>
      </w:r>
      <w:r>
        <w:rPr>
          <w:color w:val="6E6158"/>
          <w:spacing w:val="13"/>
        </w:rPr>
        <w:t> </w:t>
      </w:r>
      <w:r>
        <w:rPr>
          <w:color w:val="6E6158"/>
        </w:rPr>
        <w:t>enforcement</w:t>
      </w:r>
      <w:r>
        <w:rPr>
          <w:color w:val="6E6158"/>
          <w:spacing w:val="13"/>
        </w:rPr>
        <w:t> </w:t>
      </w:r>
      <w:r>
        <w:rPr>
          <w:color w:val="6E6158"/>
        </w:rPr>
        <w:t>strategies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lenders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creditors.</w:t>
      </w:r>
    </w:p>
    <w:p>
      <w:pPr>
        <w:pStyle w:val="BodyText"/>
        <w:spacing w:before="8"/>
        <w:ind w:left="104"/>
      </w:pPr>
      <w:r>
        <w:rPr>
          <w:color w:val="6E6158"/>
        </w:rPr>
        <w:t>Jackson’s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experience</w:t>
      </w:r>
      <w:r>
        <w:rPr>
          <w:color w:val="6E6158"/>
          <w:spacing w:val="16"/>
        </w:rPr>
        <w:t> </w:t>
      </w:r>
      <w:r>
        <w:rPr>
          <w:color w:val="6E6158"/>
        </w:rPr>
        <w:t>includes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property</w:t>
      </w:r>
      <w:r>
        <w:rPr>
          <w:color w:val="6E6158"/>
          <w:spacing w:val="16"/>
        </w:rPr>
        <w:t> </w:t>
      </w:r>
      <w:r>
        <w:rPr>
          <w:color w:val="6E6158"/>
        </w:rPr>
        <w:t>disputes,</w:t>
      </w:r>
      <w:r>
        <w:rPr>
          <w:color w:val="6E6158"/>
          <w:spacing w:val="15"/>
        </w:rPr>
        <w:t> </w:t>
      </w:r>
      <w:r>
        <w:rPr>
          <w:color w:val="6E6158"/>
        </w:rPr>
        <w:t>trade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secret</w:t>
      </w:r>
    </w:p>
    <w:p>
      <w:pPr>
        <w:pStyle w:val="BodyText"/>
        <w:spacing w:line="290" w:lineRule="auto" w:before="51"/>
        <w:ind w:left="104" w:right="397"/>
      </w:pPr>
      <w:r>
        <w:rPr>
          <w:color w:val="6E6158"/>
        </w:rPr>
        <w:t>misappropriation, and partnership and corporate governance disputes, as well as the </w:t>
      </w:r>
      <w:r>
        <w:rPr>
          <w:color w:val="6E6158"/>
        </w:rPr>
        <w:t>defense</w:t>
      </w:r>
      <w:r>
        <w:rPr>
          <w:color w:val="6E6158"/>
          <w:spacing w:val="80"/>
        </w:rPr>
        <w:t> </w:t>
      </w:r>
      <w:r>
        <w:rPr>
          <w:color w:val="6E6158"/>
        </w:rPr>
        <w:t>of actions brought under the Fair Credit Reporting Act (“FCRA”) and Telephone Consumer</w:t>
      </w:r>
      <w:r>
        <w:rPr>
          <w:color w:val="6E6158"/>
          <w:spacing w:val="40"/>
        </w:rPr>
        <w:t> </w:t>
      </w:r>
      <w:r>
        <w:rPr>
          <w:color w:val="6E6158"/>
        </w:rPr>
        <w:t>Protection Act (“TCPA”).</w:t>
      </w:r>
      <w:r>
        <w:rPr>
          <w:color w:val="6E6158"/>
          <w:spacing w:val="40"/>
        </w:rPr>
        <w:t> </w:t>
      </w:r>
      <w:r>
        <w:rPr>
          <w:color w:val="6E6158"/>
        </w:rPr>
        <w:t>In 2021, he was named a “Rising Star” by </w:t>
      </w:r>
      <w:r>
        <w:rPr>
          <w:i/>
          <w:color w:val="6E6158"/>
          <w:sz w:val="20"/>
        </w:rPr>
        <w:t>Super Lawyers </w:t>
      </w:r>
      <w:r>
        <w:rPr>
          <w:color w:val="6E6158"/>
        </w:rPr>
        <w:t>Magazine, placing him in the top-2.5% of attorneys in Northern California.</w:t>
      </w:r>
    </w:p>
    <w:p>
      <w:pPr>
        <w:pStyle w:val="BodyText"/>
        <w:spacing w:before="201"/>
        <w:ind w:left="104"/>
      </w:pPr>
      <w:r>
        <w:rPr>
          <w:color w:val="6E6158"/>
        </w:rPr>
        <w:t>Originally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teacher,</w:t>
      </w:r>
      <w:r>
        <w:rPr>
          <w:color w:val="6E6158"/>
          <w:spacing w:val="9"/>
        </w:rPr>
        <w:t> </w:t>
      </w:r>
      <w:r>
        <w:rPr>
          <w:color w:val="6E6158"/>
        </w:rPr>
        <w:t>Jackson</w:t>
      </w:r>
      <w:r>
        <w:rPr>
          <w:color w:val="6E6158"/>
          <w:spacing w:val="9"/>
        </w:rPr>
        <w:t> </w:t>
      </w:r>
      <w:r>
        <w:rPr>
          <w:color w:val="6E6158"/>
        </w:rPr>
        <w:t>spent</w:t>
      </w:r>
      <w:r>
        <w:rPr>
          <w:color w:val="6E6158"/>
          <w:spacing w:val="9"/>
        </w:rPr>
        <w:t> </w:t>
      </w:r>
      <w:r>
        <w:rPr>
          <w:color w:val="6E6158"/>
        </w:rPr>
        <w:t>two</w:t>
      </w:r>
      <w:r>
        <w:rPr>
          <w:color w:val="6E6158"/>
          <w:spacing w:val="9"/>
        </w:rPr>
        <w:t> </w:t>
      </w:r>
      <w:r>
        <w:rPr>
          <w:color w:val="6E6158"/>
        </w:rPr>
        <w:t>years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rural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Mexico</w:t>
      </w:r>
      <w:r>
        <w:rPr>
          <w:color w:val="6E6158"/>
          <w:spacing w:val="9"/>
        </w:rPr>
        <w:t> </w:t>
      </w:r>
      <w:r>
        <w:rPr>
          <w:color w:val="6E6158"/>
        </w:rPr>
        <w:t>working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Teach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For</w:t>
      </w:r>
    </w:p>
    <w:p>
      <w:pPr>
        <w:pStyle w:val="BodyText"/>
        <w:spacing w:before="52"/>
        <w:ind w:left="104"/>
      </w:pPr>
      <w:r>
        <w:rPr>
          <w:color w:val="6E6158"/>
        </w:rPr>
        <w:t>America,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3"/>
        </w:rPr>
        <w:t> </w:t>
      </w:r>
      <w:r>
        <w:rPr>
          <w:color w:val="6E6158"/>
        </w:rPr>
        <w:t>non-profit</w:t>
      </w:r>
      <w:r>
        <w:rPr>
          <w:color w:val="6E6158"/>
          <w:spacing w:val="13"/>
        </w:rPr>
        <w:t> </w:t>
      </w:r>
      <w:r>
        <w:rPr>
          <w:color w:val="6E6158"/>
        </w:rPr>
        <w:t>organization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aims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close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educational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achievement</w:t>
      </w:r>
    </w:p>
    <w:p>
      <w:pPr>
        <w:pStyle w:val="BodyText"/>
        <w:spacing w:line="295" w:lineRule="auto" w:before="52"/>
        <w:ind w:left="104" w:right="216"/>
      </w:pPr>
      <w:r>
        <w:rPr>
          <w:color w:val="6E6158"/>
        </w:rPr>
        <w:t>gap in low-income areas. After law school, Jackson clerked for the Hon. Christopher Klein of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 Bankruptcy Court for the Eastern District of California. During that time, he was able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work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many</w:t>
      </w:r>
      <w:r>
        <w:rPr>
          <w:color w:val="6E6158"/>
          <w:spacing w:val="31"/>
        </w:rPr>
        <w:t> </w:t>
      </w:r>
      <w:r>
        <w:rPr>
          <w:color w:val="6E6158"/>
        </w:rPr>
        <w:t>complex</w:t>
      </w:r>
      <w:r>
        <w:rPr>
          <w:color w:val="6E6158"/>
          <w:spacing w:val="31"/>
        </w:rPr>
        <w:t> </w:t>
      </w:r>
      <w:r>
        <w:rPr>
          <w:color w:val="6E6158"/>
        </w:rPr>
        <w:t>bankruptcy</w:t>
      </w:r>
      <w:r>
        <w:rPr>
          <w:color w:val="6E6158"/>
          <w:spacing w:val="31"/>
        </w:rPr>
        <w:t> </w:t>
      </w:r>
      <w:r>
        <w:rPr>
          <w:color w:val="6E6158"/>
        </w:rPr>
        <w:t>cases,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City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Stockton’s</w:t>
      </w:r>
      <w:r>
        <w:rPr>
          <w:color w:val="6E6158"/>
          <w:spacing w:val="31"/>
        </w:rPr>
        <w:t> </w:t>
      </w:r>
      <w:r>
        <w:rPr>
          <w:color w:val="6E6158"/>
        </w:rPr>
        <w:t>landmark municipal bankruptcy.</w:t>
      </w:r>
    </w:p>
    <w:p>
      <w:pPr>
        <w:pStyle w:val="BodyText"/>
        <w:spacing w:line="292" w:lineRule="auto" w:before="204"/>
        <w:ind w:left="104" w:right="216"/>
      </w:pPr>
      <w:r>
        <w:rPr>
          <w:color w:val="6E6158"/>
        </w:rPr>
        <w:t>Jackson believes that lawsuits are won by harnessing the power of narrative: every lawsuit is a</w:t>
      </w:r>
      <w:r>
        <w:rPr>
          <w:color w:val="6E6158"/>
          <w:spacing w:val="40"/>
        </w:rPr>
        <w:t> </w:t>
      </w:r>
      <w:r>
        <w:rPr>
          <w:color w:val="6E6158"/>
        </w:rPr>
        <w:t>contest between two stories, and the best lawyers use their knowledge of the law to tell their</w:t>
      </w:r>
      <w:r>
        <w:rPr>
          <w:color w:val="6E6158"/>
          <w:spacing w:val="40"/>
        </w:rPr>
        <w:t> </w:t>
      </w:r>
      <w:r>
        <w:rPr>
          <w:color w:val="6E6158"/>
        </w:rPr>
        <w:t>client’s story in the clearest, most compelling way possible. Jackson is truly happiest when he’s</w:t>
      </w:r>
      <w:r>
        <w:rPr>
          <w:color w:val="6E6158"/>
          <w:spacing w:val="40"/>
        </w:rPr>
        <w:t> </w:t>
      </w:r>
      <w:r>
        <w:rPr>
          <w:color w:val="6E6158"/>
        </w:rPr>
        <w:t>solving his clients’ most complicated problems.</w:t>
      </w:r>
    </w:p>
    <w:p>
      <w:pPr>
        <w:pStyle w:val="BodyText"/>
        <w:spacing w:line="292" w:lineRule="auto" w:before="206"/>
        <w:ind w:left="104" w:right="216"/>
      </w:pPr>
      <w:r>
        <w:rPr>
          <w:color w:val="6E6158"/>
        </w:rPr>
        <w:t>Married with a young son, Jackson enjoys growing vegetables in his backyard garden and</w:t>
      </w:r>
      <w:r>
        <w:rPr>
          <w:color w:val="6E6158"/>
          <w:spacing w:val="40"/>
        </w:rPr>
        <w:t> </w:t>
      </w:r>
      <w:r>
        <w:rPr>
          <w:color w:val="6E6158"/>
        </w:rPr>
        <w:t>cooking for his family.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29664" id="docshape1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152735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406pt;width:1.65pt;height:1.65pt;mso-position-horizontal-relative:page;mso-position-vertical-relative:paragraph;z-index:15730176" id="docshape18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416268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031pt;width:1.65pt;height:1.65pt;mso-position-horizontal-relative:page;mso-position-vertical-relative:paragraph;z-index:15730688" id="docshape19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Davis School of </w:t>
      </w:r>
      <w:r>
        <w:rPr>
          <w:color w:val="6E6158"/>
        </w:rPr>
        <w:t>Law</w:t>
      </w:r>
      <w:r>
        <w:rPr>
          <w:color w:val="6E6158"/>
        </w:rPr>
        <w:t> B.A., University of California, Berkeley</w:t>
      </w:r>
    </w:p>
    <w:p>
      <w:pPr>
        <w:pStyle w:val="BodyText"/>
        <w:spacing w:before="123"/>
      </w:pPr>
    </w:p>
    <w:p>
      <w:pPr>
        <w:pStyle w:val="BodyText"/>
        <w:spacing w:line="427" w:lineRule="auto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64879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8607pt;width:1.65pt;height:1.65pt;mso-position-horizontal-relative:page;mso-position-vertical-relative:paragraph;z-index:15731200" id="docshape20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323244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2356pt;width:1.65pt;height:1.65pt;mso-position-horizontal-relative:page;mso-position-vertical-relative:paragraph;z-index:15731712" id="docshape21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7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59348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3104pt;width:1.65pt;height:1.65pt;mso-position-horizontal-relative:page;mso-position-vertical-relative:paragraph;z-index:15732224" id="docshape22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317714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16851pt;width:1.65pt;height:1.65pt;mso-position-horizontal-relative:page;mso-position-vertical-relative:paragraph;z-index:15732736" id="docshape23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 </w:t>
      </w:r>
      <w:r>
        <w:rPr>
          <w:color w:val="6E6158"/>
        </w:rPr>
        <w:t>Business </w:t>
      </w:r>
      <w:r>
        <w:rPr>
          <w:color w:val="6E6158"/>
        </w:rPr>
        <w:t>Litigation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63506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509pt;width:1.65pt;height:1.65pt;mso-position-horizontal-relative:page;mso-position-vertical-relative:paragraph;z-index:15733248" id="docshape2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157594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989pt;width:1.65pt;height:1.65pt;mso-position-horizontal-relative:page;mso-position-vertical-relative:paragraph;z-index:15733760" id="docshape2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“Inflating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Away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Till,”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z w:val="20"/>
        </w:rPr>
        <w:t>American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Bankruptcy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Institute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292" w:lineRule="auto" w:before="180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266899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5745pt;width:1.65pt;height:1.65pt;mso-position-horizontal-relative:page;mso-position-vertical-relative:paragraph;z-index:15734272" id="docshape26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“Rights and Obligations Following Death of Borrower,” Bankruptcy </w:t>
      </w:r>
      <w:r>
        <w:rPr>
          <w:color w:val="6E6158"/>
        </w:rPr>
        <w:t>Association, January 2018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143038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841pt;width:1.65pt;height:1.65pt;mso-position-horizontal-relative:page;mso-position-vertical-relative:paragraph;z-index:15734784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“Bankruptcy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Litigators: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Overview,”</w:t>
      </w:r>
      <w:r>
        <w:rPr>
          <w:color w:val="6E6158"/>
          <w:spacing w:val="12"/>
        </w:rPr>
        <w:t> </w:t>
      </w:r>
      <w:r>
        <w:rPr>
          <w:color w:val="6E6158"/>
        </w:rPr>
        <w:t>Baker</w:t>
      </w:r>
      <w:r>
        <w:rPr>
          <w:color w:val="6E6158"/>
          <w:spacing w:val="12"/>
        </w:rPr>
        <w:t> </w:t>
      </w:r>
      <w:r>
        <w:rPr>
          <w:color w:val="6E6158"/>
        </w:rPr>
        <w:t>Manock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Jensen,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4pt;width:1.65pt;height:1.65pt;mso-position-horizontal-relative:page;mso-position-vertical-relative:paragraph;z-index:15735296" id="docshape2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Rising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left="356" w:right="4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157666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7pt;width:1.65pt;height:1.65pt;mso-position-horizontal-relative:page;mso-position-vertical-relative:paragraph;z-index:15735808" id="docshape2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416032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442pt;width:1.65pt;height:1.65pt;mso-position-horizontal-relative:page;mso-position-vertical-relative:paragraph;z-index:15736320" id="docshape3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674398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2211pt;width:1.65pt;height:1.65pt;mso-position-horizontal-relative:page;mso-position-vertical-relative:paragraph;z-index:15736832" id="docshape3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County Bar Association Member, Fresno’s Leading Young </w:t>
      </w:r>
      <w:r>
        <w:rPr>
          <w:color w:val="6E6158"/>
        </w:rPr>
        <w:t>Professionals Leadership Fresno graduate (Class 33)</w:t>
      </w:r>
    </w:p>
    <w:p>
      <w:pPr>
        <w:pStyle w:val="Heading1"/>
        <w:spacing w:before="160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4pt;width:1.65pt;height:1.65pt;mso-position-horizontal-relative:page;mso-position-vertical-relative:paragraph;z-index:15737344" id="docshape3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wast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2025-03-07T00:21:08Z</dcterms:created>
  <dcterms:modified xsi:type="dcterms:W3CDTF">2025-03-07T00:21:08Z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2025-03-07T00:00:00Z</vt:filetime>
  </property>
  <property fmtid="{D5CDD505-2E9C-101B-9397-08002B2CF9AE}" pid="5" name="Producer">
    <vt:lpwstr>Skia/PDF m117</vt:lpwstr>
  </property>
</Properties>
</file>