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53282" y="1369338"/>
                            <a:ext cx="1793239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3239" h="320675">
                                <a:moveTo>
                                  <a:pt x="1793062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93062" y="320382"/>
                                </a:lnTo>
                                <a:lnTo>
                                  <a:pt x="1793062" y="315214"/>
                                </a:lnTo>
                                <a:close/>
                              </a:path>
                              <a:path w="1793239" h="320675">
                                <a:moveTo>
                                  <a:pt x="1793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93062" y="5168"/>
                                </a:lnTo>
                                <a:lnTo>
                                  <a:pt x="1793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JUNE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MONROE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Agribusiness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Orange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County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83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949.430.3420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949.752.0953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jmonroe@fennemorelaw.com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53;top:2156;width:2824;height:505" id="docshape5" coordorigin="5753,2156" coordsize="2824,505" path="m8577,2653l5753,2653,5753,2661,8577,2661,8577,2653xm8577,2156l5753,2156,5753,2165,8577,2165,8577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JUNE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MONROE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Agribusiness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Orange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County</w:t>
                          </w:r>
                        </w:hyperlink>
                      </w:p>
                      <w:p>
                        <w:pPr>
                          <w:tabs>
                            <w:tab w:pos="1583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949.430.3420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949.752.0953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jmonroe@fennemorelaw.com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JUNE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MONROE</w:t>
      </w:r>
    </w:p>
    <w:p>
      <w:pPr>
        <w:pStyle w:val="BodyText"/>
        <w:spacing w:line="295" w:lineRule="auto" w:before="147"/>
        <w:ind w:left="104" w:right="545"/>
      </w:pPr>
      <w:r>
        <w:rPr>
          <w:color w:val="6E6158"/>
        </w:rPr>
        <w:t>June Monroe is a director in our Irvine office who works in our Agribusiness and Employment Law</w:t>
      </w:r>
      <w:r>
        <w:rPr>
          <w:color w:val="6E6158"/>
          <w:spacing w:val="40"/>
        </w:rPr>
        <w:t> </w:t>
      </w:r>
      <w:r>
        <w:rPr>
          <w:color w:val="6E6158"/>
        </w:rPr>
        <w:t>Practice Groups. June climbed her way to the top by starting her legal career as a receptionist</w:t>
      </w:r>
      <w:r>
        <w:rPr>
          <w:color w:val="6E6158"/>
          <w:spacing w:val="40"/>
        </w:rPr>
        <w:t> </w:t>
      </w:r>
      <w:r>
        <w:rPr>
          <w:color w:val="6E6158"/>
        </w:rPr>
        <w:t>and then to a legal assistant. In 2008, she found herself a single mom of two young boys and</w:t>
      </w:r>
      <w:r>
        <w:rPr>
          <w:color w:val="6E6158"/>
          <w:spacing w:val="40"/>
        </w:rPr>
        <w:t> </w:t>
      </w:r>
      <w:r>
        <w:rPr>
          <w:color w:val="6E6158"/>
        </w:rPr>
        <w:t>wanting</w:t>
      </w:r>
      <w:r>
        <w:rPr>
          <w:color w:val="6E6158"/>
          <w:spacing w:val="27"/>
        </w:rPr>
        <w:t> </w:t>
      </w:r>
      <w:r>
        <w:rPr>
          <w:color w:val="6E6158"/>
        </w:rPr>
        <w:t>more</w:t>
      </w:r>
      <w:r>
        <w:rPr>
          <w:color w:val="6E6158"/>
          <w:spacing w:val="27"/>
        </w:rPr>
        <w:t> </w:t>
      </w:r>
      <w:r>
        <w:rPr>
          <w:color w:val="6E6158"/>
        </w:rPr>
        <w:t>for</w:t>
      </w:r>
      <w:r>
        <w:rPr>
          <w:color w:val="6E6158"/>
          <w:spacing w:val="27"/>
        </w:rPr>
        <w:t> </w:t>
      </w:r>
      <w:r>
        <w:rPr>
          <w:color w:val="6E6158"/>
        </w:rPr>
        <w:t>their</w:t>
      </w:r>
      <w:r>
        <w:rPr>
          <w:color w:val="6E6158"/>
          <w:spacing w:val="27"/>
        </w:rPr>
        <w:t> </w:t>
      </w:r>
      <w:r>
        <w:rPr>
          <w:color w:val="6E6158"/>
        </w:rPr>
        <w:t>future.</w:t>
      </w:r>
      <w:r>
        <w:rPr>
          <w:color w:val="6E6158"/>
          <w:spacing w:val="27"/>
        </w:rPr>
        <w:t> </w:t>
      </w:r>
      <w:r>
        <w:rPr>
          <w:color w:val="6E6158"/>
        </w:rPr>
        <w:t>While</w:t>
      </w:r>
      <w:r>
        <w:rPr>
          <w:color w:val="6E6158"/>
          <w:spacing w:val="27"/>
        </w:rPr>
        <w:t> </w:t>
      </w:r>
      <w:r>
        <w:rPr>
          <w:color w:val="6E6158"/>
        </w:rPr>
        <w:t>working</w:t>
      </w:r>
      <w:r>
        <w:rPr>
          <w:color w:val="6E6158"/>
          <w:spacing w:val="27"/>
        </w:rPr>
        <w:t> </w:t>
      </w:r>
      <w:r>
        <w:rPr>
          <w:color w:val="6E6158"/>
        </w:rPr>
        <w:t>fulltime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raising</w:t>
      </w:r>
      <w:r>
        <w:rPr>
          <w:color w:val="6E6158"/>
          <w:spacing w:val="27"/>
        </w:rPr>
        <w:t> </w:t>
      </w:r>
      <w:r>
        <w:rPr>
          <w:color w:val="6E6158"/>
        </w:rPr>
        <w:t>her</w:t>
      </w:r>
      <w:r>
        <w:rPr>
          <w:color w:val="6E6158"/>
          <w:spacing w:val="27"/>
        </w:rPr>
        <w:t> </w:t>
      </w:r>
      <w:r>
        <w:rPr>
          <w:color w:val="6E6158"/>
        </w:rPr>
        <w:t>family,</w:t>
      </w:r>
      <w:r>
        <w:rPr>
          <w:color w:val="6E6158"/>
          <w:spacing w:val="27"/>
        </w:rPr>
        <w:t> </w:t>
      </w:r>
      <w:r>
        <w:rPr>
          <w:color w:val="6E6158"/>
        </w:rPr>
        <w:t>June</w:t>
      </w:r>
      <w:r>
        <w:rPr>
          <w:color w:val="6E6158"/>
          <w:spacing w:val="27"/>
        </w:rPr>
        <w:t> </w:t>
      </w:r>
      <w:r>
        <w:rPr>
          <w:color w:val="6E6158"/>
        </w:rPr>
        <w:t>attended</w:t>
      </w:r>
      <w:r>
        <w:rPr>
          <w:color w:val="6E6158"/>
          <w:spacing w:val="27"/>
        </w:rPr>
        <w:t> </w:t>
      </w:r>
      <w:r>
        <w:rPr>
          <w:color w:val="6E6158"/>
        </w:rPr>
        <w:t>law</w:t>
      </w:r>
    </w:p>
    <w:p>
      <w:pPr>
        <w:pStyle w:val="BodyText"/>
        <w:spacing w:line="292" w:lineRule="auto" w:before="9"/>
        <w:ind w:left="104" w:right="721"/>
      </w:pPr>
      <w:r>
        <w:rPr>
          <w:color w:val="6E6158"/>
        </w:rPr>
        <w:t>school. In 2012, she made the natural transition into an associate attorney and </w:t>
      </w:r>
      <w:r>
        <w:rPr>
          <w:color w:val="6E6158"/>
        </w:rPr>
        <w:t>eventually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partner.</w:t>
      </w:r>
    </w:p>
    <w:p>
      <w:pPr>
        <w:pStyle w:val="BodyText"/>
        <w:spacing w:line="295" w:lineRule="auto" w:before="197"/>
        <w:ind w:left="104" w:right="545"/>
      </w:pPr>
      <w:r>
        <w:rPr>
          <w:color w:val="6E6158"/>
        </w:rPr>
        <w:t>June practices employment law, agricultural law, commercial law, secured transactions and</w:t>
      </w:r>
      <w:r>
        <w:rPr>
          <w:color w:val="6E6158"/>
          <w:spacing w:val="40"/>
        </w:rPr>
        <w:t> </w:t>
      </w:r>
      <w:r>
        <w:rPr>
          <w:color w:val="6E6158"/>
        </w:rPr>
        <w:t>general business law. She provides a wide range of services to agribusinesses – from startup</w:t>
      </w:r>
      <w:r>
        <w:rPr>
          <w:color w:val="6E6158"/>
          <w:spacing w:val="40"/>
        </w:rPr>
        <w:t> </w:t>
      </w:r>
      <w:r>
        <w:rPr>
          <w:color w:val="6E6158"/>
        </w:rPr>
        <w:t>formation to operating challenges. She concentrates on federal litigation, in district court and</w:t>
      </w:r>
      <w:r>
        <w:rPr>
          <w:color w:val="6E6158"/>
          <w:spacing w:val="40"/>
        </w:rPr>
        <w:t> </w:t>
      </w:r>
      <w:r>
        <w:rPr>
          <w:color w:val="6E6158"/>
        </w:rPr>
        <w:t>bankruptcy court, to enforce produce suppliers’ statutory rights under the Perishable </w:t>
      </w:r>
      <w:r>
        <w:rPr>
          <w:color w:val="6E6158"/>
        </w:rPr>
        <w:t>Agricultural</w:t>
      </w:r>
      <w:r>
        <w:rPr>
          <w:color w:val="6E6158"/>
          <w:spacing w:val="40"/>
        </w:rPr>
        <w:t> </w:t>
      </w:r>
      <w:r>
        <w:rPr>
          <w:color w:val="6E6158"/>
        </w:rPr>
        <w:t>Commodities</w:t>
      </w:r>
      <w:r>
        <w:rPr>
          <w:color w:val="6E6158"/>
          <w:spacing w:val="33"/>
        </w:rPr>
        <w:t> </w:t>
      </w:r>
      <w:r>
        <w:rPr>
          <w:color w:val="6E6158"/>
        </w:rPr>
        <w:t>Act</w:t>
      </w:r>
      <w:r>
        <w:rPr>
          <w:color w:val="6E6158"/>
          <w:spacing w:val="33"/>
        </w:rPr>
        <w:t> </w:t>
      </w:r>
      <w:r>
        <w:rPr>
          <w:color w:val="6E6158"/>
        </w:rPr>
        <w:t>(PACA).</w:t>
      </w:r>
      <w:r>
        <w:rPr>
          <w:color w:val="6E6158"/>
          <w:spacing w:val="33"/>
        </w:rPr>
        <w:t> </w:t>
      </w:r>
      <w:r>
        <w:rPr>
          <w:color w:val="6E6158"/>
        </w:rPr>
        <w:t>She</w:t>
      </w:r>
      <w:r>
        <w:rPr>
          <w:color w:val="6E6158"/>
          <w:spacing w:val="33"/>
        </w:rPr>
        <w:t> </w:t>
      </w:r>
      <w:r>
        <w:rPr>
          <w:color w:val="6E6158"/>
        </w:rPr>
        <w:t>has</w:t>
      </w:r>
      <w:r>
        <w:rPr>
          <w:color w:val="6E6158"/>
          <w:spacing w:val="33"/>
        </w:rPr>
        <w:t> </w:t>
      </w:r>
      <w:r>
        <w:rPr>
          <w:color w:val="6E6158"/>
        </w:rPr>
        <w:t>recovered</w:t>
      </w:r>
      <w:r>
        <w:rPr>
          <w:color w:val="6E6158"/>
          <w:spacing w:val="33"/>
        </w:rPr>
        <w:t> </w:t>
      </w:r>
      <w:r>
        <w:rPr>
          <w:color w:val="6E6158"/>
        </w:rPr>
        <w:t>multi-million</w:t>
      </w:r>
      <w:r>
        <w:rPr>
          <w:color w:val="6E6158"/>
          <w:spacing w:val="33"/>
        </w:rPr>
        <w:t> </w:t>
      </w:r>
      <w:r>
        <w:rPr>
          <w:color w:val="6E6158"/>
        </w:rPr>
        <w:t>dollars</w:t>
      </w:r>
      <w:r>
        <w:rPr>
          <w:color w:val="6E6158"/>
          <w:spacing w:val="33"/>
        </w:rPr>
        <w:t> </w:t>
      </w:r>
      <w:r>
        <w:rPr>
          <w:color w:val="6E6158"/>
        </w:rPr>
        <w:t>in</w:t>
      </w:r>
      <w:r>
        <w:rPr>
          <w:color w:val="6E6158"/>
          <w:spacing w:val="33"/>
        </w:rPr>
        <w:t> </w:t>
      </w:r>
      <w:r>
        <w:rPr>
          <w:color w:val="6E6158"/>
        </w:rPr>
        <w:t>complex</w:t>
      </w:r>
      <w:r>
        <w:rPr>
          <w:color w:val="6E6158"/>
          <w:spacing w:val="33"/>
        </w:rPr>
        <w:t> </w:t>
      </w:r>
      <w:r>
        <w:rPr>
          <w:color w:val="6E6158"/>
        </w:rPr>
        <w:t>multi-party</w:t>
      </w:r>
      <w:r>
        <w:rPr>
          <w:color w:val="6E6158"/>
          <w:spacing w:val="33"/>
        </w:rPr>
        <w:t> </w:t>
      </w:r>
      <w:r>
        <w:rPr>
          <w:color w:val="6E6158"/>
        </w:rPr>
        <w:t>PACA</w:t>
      </w:r>
    </w:p>
    <w:p>
      <w:pPr>
        <w:pStyle w:val="BodyText"/>
        <w:spacing w:line="297" w:lineRule="auto" w:before="0"/>
        <w:ind w:left="104" w:right="717"/>
      </w:pPr>
      <w:r>
        <w:rPr>
          <w:color w:val="6E6158"/>
        </w:rPr>
        <w:t>actions. June also assists agribusiness marketers in perfecting security interests in growing </w:t>
      </w:r>
      <w:r>
        <w:rPr>
          <w:color w:val="6E6158"/>
        </w:rPr>
        <w:t>crops</w:t>
      </w:r>
      <w:r>
        <w:rPr>
          <w:color w:val="6E6158"/>
          <w:spacing w:val="40"/>
        </w:rPr>
        <w:t> </w:t>
      </w:r>
      <w:r>
        <w:rPr>
          <w:color w:val="6E6158"/>
        </w:rPr>
        <w:t>and related secured transactions under the adopted provisions of the Uniform Commercial</w:t>
      </w:r>
      <w:r>
        <w:rPr>
          <w:color w:val="6E6158"/>
          <w:spacing w:val="40"/>
        </w:rPr>
        <w:t> </w:t>
      </w:r>
      <w:r>
        <w:rPr>
          <w:color w:val="6E6158"/>
        </w:rPr>
        <w:t>Code and the Federal Food Security Act.</w:t>
      </w:r>
    </w:p>
    <w:p>
      <w:pPr>
        <w:pStyle w:val="BodyText"/>
        <w:spacing w:line="295" w:lineRule="auto" w:before="190"/>
        <w:ind w:left="104" w:right="545"/>
      </w:pPr>
      <w:r>
        <w:rPr>
          <w:color w:val="6E6158"/>
        </w:rPr>
        <w:t>In addition to her agricultural law practice, June also advises employers in employment and</w:t>
      </w:r>
      <w:r>
        <w:rPr>
          <w:color w:val="6E6158"/>
          <w:spacing w:val="40"/>
        </w:rPr>
        <w:t> </w:t>
      </w:r>
      <w:r>
        <w:rPr>
          <w:color w:val="6E6158"/>
        </w:rPr>
        <w:t>general business law matters. She has represented employers on wage and hour civil actions</w:t>
      </w:r>
      <w:r>
        <w:rPr>
          <w:color w:val="6E6158"/>
          <w:spacing w:val="40"/>
        </w:rPr>
        <w:t> </w:t>
      </w:r>
      <w:r>
        <w:rPr>
          <w:color w:val="6E6158"/>
        </w:rPr>
        <w:t>claims and wage and hour investigations and hearings before the U.S. Department of Labor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California Labor Commissioner. She has also successfully won unemployment insurance benefit</w:t>
      </w:r>
      <w:r>
        <w:rPr>
          <w:color w:val="6E6158"/>
          <w:spacing w:val="40"/>
        </w:rPr>
        <w:t> </w:t>
      </w:r>
      <w:r>
        <w:rPr>
          <w:color w:val="6E6158"/>
        </w:rPr>
        <w:t>appeals</w:t>
      </w:r>
      <w:r>
        <w:rPr>
          <w:color w:val="6E6158"/>
          <w:spacing w:val="34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multiple</w:t>
      </w:r>
      <w:r>
        <w:rPr>
          <w:color w:val="6E6158"/>
          <w:spacing w:val="34"/>
        </w:rPr>
        <w:t> </w:t>
      </w:r>
      <w:r>
        <w:rPr>
          <w:color w:val="6E6158"/>
        </w:rPr>
        <w:t>states.</w:t>
      </w:r>
      <w:r>
        <w:rPr>
          <w:color w:val="6E6158"/>
          <w:spacing w:val="34"/>
        </w:rPr>
        <w:t> </w:t>
      </w:r>
      <w:r>
        <w:rPr>
          <w:color w:val="6E6158"/>
        </w:rPr>
        <w:t>June</w:t>
      </w:r>
      <w:r>
        <w:rPr>
          <w:color w:val="6E6158"/>
          <w:spacing w:val="34"/>
        </w:rPr>
        <w:t> </w:t>
      </w:r>
      <w:r>
        <w:rPr>
          <w:color w:val="6E6158"/>
        </w:rPr>
        <w:t>has</w:t>
      </w:r>
      <w:r>
        <w:rPr>
          <w:color w:val="6E6158"/>
          <w:spacing w:val="34"/>
        </w:rPr>
        <w:t> </w:t>
      </w:r>
      <w:r>
        <w:rPr>
          <w:color w:val="6E6158"/>
        </w:rPr>
        <w:t>assisted</w:t>
      </w:r>
      <w:r>
        <w:rPr>
          <w:color w:val="6E6158"/>
          <w:spacing w:val="34"/>
        </w:rPr>
        <w:t> </w:t>
      </w:r>
      <w:r>
        <w:rPr>
          <w:color w:val="6E6158"/>
        </w:rPr>
        <w:t>numerous</w:t>
      </w:r>
      <w:r>
        <w:rPr>
          <w:color w:val="6E6158"/>
          <w:spacing w:val="34"/>
        </w:rPr>
        <w:t> </w:t>
      </w:r>
      <w:r>
        <w:rPr>
          <w:color w:val="6E6158"/>
        </w:rPr>
        <w:t>employers</w:t>
      </w:r>
      <w:r>
        <w:rPr>
          <w:color w:val="6E6158"/>
          <w:spacing w:val="34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developing</w:t>
      </w:r>
      <w:r>
        <w:rPr>
          <w:color w:val="6E6158"/>
          <w:spacing w:val="34"/>
        </w:rPr>
        <w:t> </w:t>
      </w:r>
      <w:r>
        <w:rPr>
          <w:color w:val="6E6158"/>
        </w:rPr>
        <w:t>employee</w:t>
      </w:r>
    </w:p>
    <w:p>
      <w:pPr>
        <w:pStyle w:val="BodyText"/>
        <w:spacing w:line="292" w:lineRule="auto" w:before="8"/>
        <w:ind w:left="104" w:right="721"/>
      </w:pPr>
      <w:r>
        <w:rPr>
          <w:color w:val="6E6158"/>
        </w:rPr>
        <w:t>handbooks. She also regularly advises companies on everyday employment challenges </w:t>
      </w:r>
      <w:r>
        <w:rPr>
          <w:color w:val="6E6158"/>
        </w:rPr>
        <w:t>from</w:t>
      </w:r>
      <w:r>
        <w:rPr>
          <w:color w:val="6E6158"/>
          <w:spacing w:val="40"/>
        </w:rPr>
        <w:t> </w:t>
      </w:r>
      <w:r>
        <w:rPr>
          <w:color w:val="6E6158"/>
        </w:rPr>
        <w:t>hiring</w:t>
      </w:r>
      <w:r>
        <w:rPr>
          <w:color w:val="6E6158"/>
          <w:spacing w:val="14"/>
        </w:rPr>
        <w:t> </w:t>
      </w:r>
      <w:r>
        <w:rPr>
          <w:color w:val="6E6158"/>
        </w:rPr>
        <w:t>practices,</w:t>
      </w:r>
      <w:r>
        <w:rPr>
          <w:color w:val="6E6158"/>
          <w:spacing w:val="14"/>
        </w:rPr>
        <w:t> </w:t>
      </w:r>
      <w:r>
        <w:rPr>
          <w:color w:val="6E6158"/>
        </w:rPr>
        <w:t>wage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hour</w:t>
      </w:r>
      <w:r>
        <w:rPr>
          <w:color w:val="6E6158"/>
          <w:spacing w:val="14"/>
        </w:rPr>
        <w:t> </w:t>
      </w:r>
      <w:r>
        <w:rPr>
          <w:color w:val="6E6158"/>
        </w:rPr>
        <w:t>issues,</w:t>
      </w:r>
      <w:r>
        <w:rPr>
          <w:color w:val="6E6158"/>
          <w:spacing w:val="15"/>
        </w:rPr>
        <w:t> </w:t>
      </w:r>
      <w:r>
        <w:rPr>
          <w:color w:val="6E6158"/>
        </w:rPr>
        <w:t>employment</w:t>
      </w:r>
      <w:r>
        <w:rPr>
          <w:color w:val="6E6158"/>
          <w:spacing w:val="14"/>
        </w:rPr>
        <w:t> </w:t>
      </w:r>
      <w:r>
        <w:rPr>
          <w:color w:val="6E6158"/>
        </w:rPr>
        <w:t>classification,</w:t>
      </w:r>
      <w:r>
        <w:rPr>
          <w:color w:val="6E6158"/>
          <w:spacing w:val="15"/>
        </w:rPr>
        <w:t> </w:t>
      </w:r>
      <w:r>
        <w:rPr>
          <w:color w:val="6E6158"/>
        </w:rPr>
        <w:t>sick</w:t>
      </w:r>
      <w:r>
        <w:rPr>
          <w:color w:val="6E6158"/>
          <w:spacing w:val="14"/>
        </w:rPr>
        <w:t> </w:t>
      </w:r>
      <w:r>
        <w:rPr>
          <w:color w:val="6E6158"/>
        </w:rPr>
        <w:t>time,</w:t>
      </w:r>
      <w:r>
        <w:rPr>
          <w:color w:val="6E6158"/>
          <w:spacing w:val="14"/>
        </w:rPr>
        <w:t> </w:t>
      </w:r>
      <w:r>
        <w:rPr>
          <w:color w:val="6E6158"/>
        </w:rPr>
        <w:t>protected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leave</w:t>
      </w:r>
    </w:p>
    <w:p>
      <w:pPr>
        <w:pStyle w:val="BodyText"/>
        <w:spacing w:line="292" w:lineRule="auto" w:before="1"/>
        <w:ind w:left="104" w:right="721"/>
      </w:pPr>
      <w:r>
        <w:rPr>
          <w:color w:val="6E6158"/>
        </w:rPr>
        <w:t>laws, layoffs, and termination practices – to best practices to avoid discrimination, harassment</w:t>
      </w:r>
      <w:r>
        <w:rPr>
          <w:color w:val="6E6158"/>
          <w:spacing w:val="40"/>
        </w:rPr>
        <w:t> </w:t>
      </w:r>
      <w:r>
        <w:rPr>
          <w:color w:val="6E6158"/>
        </w:rPr>
        <w:t>and retaliation claims.</w:t>
      </w:r>
    </w:p>
    <w:p>
      <w:pPr>
        <w:pStyle w:val="BodyText"/>
        <w:spacing w:line="292" w:lineRule="auto" w:before="205"/>
        <w:ind w:left="104" w:right="545"/>
      </w:pPr>
      <w:r>
        <w:rPr>
          <w:color w:val="6E6158"/>
        </w:rPr>
        <w:t>June is the current Chair of the Agribusiness Committee, Business Law Section, of the California</w:t>
      </w:r>
      <w:r>
        <w:rPr>
          <w:color w:val="6E6158"/>
          <w:spacing w:val="40"/>
        </w:rPr>
        <w:t> </w:t>
      </w:r>
      <w:r>
        <w:rPr>
          <w:color w:val="6E6158"/>
        </w:rPr>
        <w:t>Lawyers Association for the State Bar of California.</w:t>
      </w:r>
    </w:p>
    <w:p>
      <w:pPr>
        <w:pStyle w:val="BodyText"/>
        <w:spacing w:before="196"/>
        <w:ind w:left="104"/>
      </w:pPr>
      <w:r>
        <w:rPr>
          <w:color w:val="6E6158"/>
        </w:rPr>
        <w:t>Outside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work,</w:t>
      </w:r>
      <w:r>
        <w:rPr>
          <w:color w:val="6E6158"/>
          <w:spacing w:val="10"/>
        </w:rPr>
        <w:t> </w:t>
      </w:r>
      <w:r>
        <w:rPr>
          <w:color w:val="6E6158"/>
        </w:rPr>
        <w:t>June</w:t>
      </w:r>
      <w:r>
        <w:rPr>
          <w:color w:val="6E6158"/>
          <w:spacing w:val="10"/>
        </w:rPr>
        <w:t> </w:t>
      </w:r>
      <w:r>
        <w:rPr>
          <w:color w:val="6E6158"/>
        </w:rPr>
        <w:t>is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weekend</w:t>
      </w:r>
      <w:r>
        <w:rPr>
          <w:color w:val="6E6158"/>
          <w:spacing w:val="10"/>
        </w:rPr>
        <w:t> </w:t>
      </w:r>
      <w:r>
        <w:rPr>
          <w:color w:val="6E6158"/>
        </w:rPr>
        <w:t>painter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enjoys</w:t>
      </w:r>
      <w:r>
        <w:rPr>
          <w:color w:val="6E6158"/>
          <w:spacing w:val="10"/>
        </w:rPr>
        <w:t> </w:t>
      </w:r>
      <w:r>
        <w:rPr>
          <w:color w:val="6E6158"/>
        </w:rPr>
        <w:t>painting</w:t>
      </w:r>
      <w:r>
        <w:rPr>
          <w:color w:val="6E6158"/>
          <w:spacing w:val="10"/>
        </w:rPr>
        <w:t> </w:t>
      </w:r>
      <w:r>
        <w:rPr>
          <w:color w:val="6E6158"/>
        </w:rPr>
        <w:t>on</w:t>
      </w:r>
      <w:r>
        <w:rPr>
          <w:color w:val="6E6158"/>
          <w:spacing w:val="10"/>
        </w:rPr>
        <w:t> </w:t>
      </w:r>
      <w:r>
        <w:rPr>
          <w:color w:val="6E6158"/>
        </w:rPr>
        <w:t>canvas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murals.</w:t>
      </w:r>
      <w:r>
        <w:rPr>
          <w:color w:val="6E6158"/>
          <w:spacing w:val="74"/>
        </w:rPr>
        <w:t> </w:t>
      </w:r>
      <w:r>
        <w:rPr>
          <w:color w:val="6E6158"/>
          <w:spacing w:val="-5"/>
        </w:rPr>
        <w:t>Her</w:t>
      </w:r>
    </w:p>
    <w:p>
      <w:pPr>
        <w:pStyle w:val="BodyText"/>
        <w:spacing w:before="52"/>
        <w:ind w:left="104"/>
      </w:pPr>
      <w:r>
        <w:rPr>
          <w:color w:val="6E6158"/>
        </w:rPr>
        <w:t>newest</w:t>
      </w:r>
      <w:r>
        <w:rPr>
          <w:color w:val="6E6158"/>
          <w:spacing w:val="11"/>
        </w:rPr>
        <w:t> </w:t>
      </w:r>
      <w:r>
        <w:rPr>
          <w:color w:val="6E6158"/>
        </w:rPr>
        <w:t>passion</w:t>
      </w:r>
      <w:r>
        <w:rPr>
          <w:color w:val="6E6158"/>
          <w:spacing w:val="11"/>
        </w:rPr>
        <w:t> </w:t>
      </w:r>
      <w:r>
        <w:rPr>
          <w:color w:val="6E6158"/>
        </w:rPr>
        <w:t>(outside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law)</w:t>
      </w:r>
      <w:r>
        <w:rPr>
          <w:color w:val="6E6158"/>
          <w:spacing w:val="11"/>
        </w:rPr>
        <w:t> </w:t>
      </w:r>
      <w:r>
        <w:rPr>
          <w:color w:val="6E6158"/>
        </w:rPr>
        <w:t>is</w:t>
      </w:r>
      <w:r>
        <w:rPr>
          <w:color w:val="6E6158"/>
          <w:spacing w:val="11"/>
        </w:rPr>
        <w:t> </w:t>
      </w:r>
      <w:r>
        <w:rPr>
          <w:color w:val="6E6158"/>
        </w:rPr>
        <w:t>painting</w:t>
      </w:r>
      <w:r>
        <w:rPr>
          <w:color w:val="6E6158"/>
          <w:spacing w:val="12"/>
        </w:rPr>
        <w:t> </w:t>
      </w:r>
      <w:r>
        <w:rPr>
          <w:color w:val="6E6158"/>
        </w:rPr>
        <w:t>fruits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vegetables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her</w:t>
      </w:r>
      <w:r>
        <w:rPr>
          <w:color w:val="6E6158"/>
          <w:spacing w:val="11"/>
        </w:rPr>
        <w:t> </w:t>
      </w:r>
      <w:r>
        <w:rPr>
          <w:color w:val="6E6158"/>
        </w:rPr>
        <w:t>agribusiness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clients.</w:t>
      </w:r>
    </w:p>
    <w:p>
      <w:pPr>
        <w:pStyle w:val="BodyText"/>
        <w:spacing w:before="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97856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705259pt;width:1.65pt;height:1.65pt;mso-position-horizontal-relative:page;mso-position-vertical-relative:paragraph;z-index:15729152" id="docshape7" coordorigin="1675,154" coordsize="33,33" path="m1696,187l1687,187,1683,185,1676,179,1675,175,1675,166,1676,162,1683,156,1687,154,1696,154,1699,156,1706,162,1707,166,1707,170,1707,175,1706,179,1699,185,1696,1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Agribusiness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175364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8193pt;width:1.65pt;height:1.65pt;mso-position-horizontal-relative:page;mso-position-vertical-relative:paragraph;z-index:15729664" id="docshape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</w:t>
      </w:r>
      <w:r>
        <w:rPr>
          <w:color w:val="6E6158"/>
          <w:spacing w:val="12"/>
        </w:rPr>
        <w:t> </w:t>
      </w:r>
      <w:r>
        <w:rPr>
          <w:color w:val="6E6158"/>
        </w:rPr>
        <w:t>&amp;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Labor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176" id="docshape9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0688" id="docshape10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Concord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School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175194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4841pt;width:1.65pt;height:1.65pt;mso-position-horizontal-relative:page;mso-position-vertical-relative:paragraph;z-index:15731200" id="docshape11" coordorigin="1675,276" coordsize="33,33" path="m1696,308l1687,308,1683,307,1676,301,1675,297,1675,288,1676,284,1683,277,1687,276,1696,276,1699,277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5"/>
        </w:rPr>
        <w:t> </w:t>
      </w:r>
      <w:r>
        <w:rPr>
          <w:color w:val="6E6158"/>
        </w:rPr>
        <w:t>California</w:t>
      </w:r>
      <w:r>
        <w:rPr>
          <w:color w:val="6E6158"/>
          <w:spacing w:val="15"/>
        </w:rPr>
        <w:t> </w:t>
      </w:r>
      <w:r>
        <w:rPr>
          <w:color w:val="6E6158"/>
        </w:rPr>
        <w:t>State</w:t>
      </w:r>
      <w:r>
        <w:rPr>
          <w:color w:val="6E6158"/>
          <w:spacing w:val="15"/>
        </w:rPr>
        <w:t> </w:t>
      </w:r>
      <w:r>
        <w:rPr>
          <w:color w:val="6E6158"/>
        </w:rPr>
        <w:t>University,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Fullerton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157870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0727pt;width:1.65pt;height:1.65pt;mso-position-horizontal-relative:page;mso-position-vertical-relative:paragraph;z-index:15731712" id="docshape12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Agribusiness</w:t>
      </w:r>
    </w:p>
    <w:p>
      <w:pPr>
        <w:pStyle w:val="BodyText"/>
        <w:spacing w:line="427" w:lineRule="auto"/>
        <w:ind w:right="67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174964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677pt;width:1.65pt;height:1.65pt;mso-position-horizontal-relative:page;mso-position-vertical-relative:paragraph;z-index:15732224" id="docshape13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433330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0522pt;width:1.65pt;height:1.65pt;mso-position-horizontal-relative:page;mso-position-vertical-relative:paragraph;z-index:15732736" id="docshape14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&amp; </w:t>
      </w:r>
      <w:r>
        <w:rPr>
          <w:color w:val="6E6158"/>
        </w:rPr>
        <w:t>Labor Business Litigation</w:t>
      </w:r>
    </w:p>
    <w:p>
      <w:pPr>
        <w:pStyle w:val="Heading1"/>
        <w:spacing w:before="15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158129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1172pt;width:1.65pt;height:1.65pt;mso-position-horizontal-relative:page;mso-position-vertical-relative:paragraph;z-index:15733248" id="docshape15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175224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7216pt;width:1.65pt;height:1.65pt;mso-position-horizontal-relative:page;mso-position-vertical-relative:paragraph;z-index:15733760" id="docshape16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</w:rPr>
        <w:t>Advisory</w:t>
      </w:r>
      <w:r>
        <w:rPr>
          <w:color w:val="6E6158"/>
          <w:spacing w:val="11"/>
        </w:rPr>
        <w:t> </w:t>
      </w:r>
      <w:r>
        <w:rPr>
          <w:color w:val="6E6158"/>
        </w:rPr>
        <w:t>Council,</w:t>
      </w:r>
      <w:r>
        <w:rPr>
          <w:color w:val="6E6158"/>
          <w:spacing w:val="11"/>
        </w:rPr>
        <w:t> </w:t>
      </w:r>
      <w:r>
        <w:rPr>
          <w:color w:val="6E6158"/>
        </w:rPr>
        <w:t>Concord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at</w:t>
      </w:r>
      <w:r>
        <w:rPr>
          <w:color w:val="6E6158"/>
          <w:spacing w:val="11"/>
        </w:rPr>
        <w:t> </w:t>
      </w:r>
      <w:r>
        <w:rPr>
          <w:color w:val="6E6158"/>
        </w:rPr>
        <w:t>Purdue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Global</w:t>
      </w:r>
    </w:p>
    <w:p>
      <w:pPr>
        <w:pStyle w:val="BodyText"/>
        <w:spacing w:line="302" w:lineRule="auto"/>
        <w:ind w:right="5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268186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701pt;width:1.65pt;height:1.65pt;mso-position-horizontal-relative:page;mso-position-vertical-relative:paragraph;z-index:15734272" id="docshape17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Current Chair</w:t>
      </w:r>
      <w:r>
        <w:rPr>
          <w:color w:val="6E6158"/>
          <w:spacing w:val="40"/>
        </w:rPr>
        <w:t> </w:t>
      </w:r>
      <w:r>
        <w:rPr>
          <w:color w:val="6E6158"/>
        </w:rPr>
        <w:t>of the Agribusiness Committee; Business Law Section, California </w:t>
      </w:r>
      <w:r>
        <w:rPr>
          <w:color w:val="6E6158"/>
        </w:rPr>
        <w:t>Lawyers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292" w:lineRule="auto" w:before="113"/>
        <w:ind w:right="5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224144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9166pt;width:1.65pt;height:1.65pt;mso-position-horizontal-relative:page;mso-position-vertical-relative:paragraph;z-index:15734784" id="docshape18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Vice-Chair of Programs of the Agribusiness Committee; Business Law Section, </w:t>
      </w:r>
      <w:r>
        <w:rPr>
          <w:color w:val="6E6158"/>
        </w:rPr>
        <w:t>California</w:t>
      </w:r>
      <w:r>
        <w:rPr>
          <w:color w:val="6E6158"/>
          <w:spacing w:val="40"/>
        </w:rPr>
        <w:t> </w:t>
      </w:r>
      <w:r>
        <w:rPr>
          <w:color w:val="6E6158"/>
        </w:rPr>
        <w:t>Lawyers Association</w:t>
      </w:r>
    </w:p>
    <w:p>
      <w:pPr>
        <w:pStyle w:val="BodyText"/>
        <w:spacing w:line="302" w:lineRule="auto" w:before="123"/>
        <w:ind w:right="5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235839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0013pt;width:1.65pt;height:1.65pt;mso-position-horizontal-relative:page;mso-position-vertical-relative:paragraph;z-index:15735296" id="docshape19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Vice-Chair of Publications of the Agribusiness Committee; Business Law Section, </w:t>
      </w:r>
      <w:r>
        <w:rPr>
          <w:color w:val="6E6158"/>
        </w:rPr>
        <w:t>California</w:t>
      </w:r>
      <w:r>
        <w:rPr>
          <w:color w:val="6E6158"/>
          <w:spacing w:val="40"/>
        </w:rPr>
        <w:t> </w:t>
      </w:r>
      <w:r>
        <w:rPr>
          <w:color w:val="6E6158"/>
        </w:rPr>
        <w:t>Lawyers Association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136338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35295pt;width:1.65pt;height:1.65pt;mso-position-horizontal-relative:page;mso-position-vertical-relative:paragraph;z-index:15735808" id="docshape20" coordorigin="1675,215" coordsize="33,33" path="m1696,247l1687,247,1683,246,1676,239,1675,235,1675,226,1676,223,1683,216,1687,215,1696,215,1699,216,1706,223,1707,226,1707,231,1707,235,1706,239,1699,246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Orange</w:t>
      </w:r>
      <w:r>
        <w:rPr>
          <w:color w:val="6E6158"/>
          <w:spacing w:val="10"/>
        </w:rPr>
        <w:t> </w:t>
      </w:r>
      <w:r>
        <w:rPr>
          <w:color w:val="6E6158"/>
        </w:rPr>
        <w:t>County</w:t>
      </w:r>
      <w:r>
        <w:rPr>
          <w:color w:val="6E6158"/>
          <w:spacing w:val="10"/>
        </w:rPr>
        <w:t> </w:t>
      </w:r>
      <w:r>
        <w:rPr>
          <w:color w:val="6E6158"/>
        </w:rPr>
        <w:t>Women</w:t>
      </w:r>
      <w:r>
        <w:rPr>
          <w:color w:val="6E6158"/>
          <w:spacing w:val="10"/>
        </w:rPr>
        <w:t> </w:t>
      </w:r>
      <w:r>
        <w:rPr>
          <w:color w:val="6E6158"/>
        </w:rPr>
        <w:t>Lawyers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302" w:lineRule="auto" w:before="146"/>
        <w:ind w:right="7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250673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38047pt;width:1.65pt;height:1.65pt;mso-position-horizontal-relative:page;mso-position-vertical-relative:paragraph;z-index:15736320" id="docshape21" coordorigin="1675,395" coordsize="33,33" path="m1696,427l1687,427,1683,426,1676,419,1675,416,1675,407,1676,403,1683,396,1687,395,1696,395,1699,396,1706,403,1707,407,1707,411,1707,416,1706,419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 Orange County Women Lawyers Association’s Diversity Bar Stipend </w:t>
      </w:r>
      <w:r>
        <w:rPr>
          <w:color w:val="6E6158"/>
        </w:rPr>
        <w:t>Scholarship, May 2012</w:t>
      </w:r>
    </w:p>
    <w:p>
      <w:pPr>
        <w:pStyle w:val="Heading1"/>
        <w:spacing w:before="274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7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245949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66064pt;width:1.65pt;height:1.65pt;mso-position-horizontal-relative:page;mso-position-vertical-relative:paragraph;z-index:15736832" id="docshape22" coordorigin="1675,387" coordsize="33,33" path="m1696,420l1687,420,1683,418,1676,412,1675,408,1675,399,1676,395,1683,389,1687,387,1696,387,1699,389,1706,395,1707,399,1707,404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1">
        <w:r>
          <w:rPr>
            <w:color w:val="F5821F"/>
          </w:rPr>
          <w:t>Finding Work-Life Balance as a Legal Professional</w:t>
        </w:r>
      </w:hyperlink>
      <w:r>
        <w:rPr>
          <w:color w:val="6E6158"/>
        </w:rPr>
        <w:t>,” Fennemore Blog, December </w:t>
      </w:r>
      <w:r>
        <w:rPr>
          <w:color w:val="6E6158"/>
        </w:rPr>
        <w:t>11,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32"/>
        <w:ind w:right="5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236053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6918pt;width:1.65pt;height:1.65pt;mso-position-horizontal-relative:page;mso-position-vertical-relative:paragraph;z-index:15737344" id="docshape23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“Demystifying PACA: Navigating Compliance and Best Practices in the </w:t>
      </w:r>
      <w:r>
        <w:rPr>
          <w:color w:val="6E6158"/>
        </w:rPr>
        <w:t>Produce Industry,” National Agricultural Law Center webinar, April 17, 2024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142672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4029pt;width:1.65pt;height:1.65pt;mso-position-horizontal-relative:page;mso-position-vertical-relative:paragraph;z-index:15737856" id="docshape24" coordorigin="1675,225" coordsize="33,33" path="m1696,257l1687,257,1683,256,1676,249,1675,245,1675,236,1676,233,1683,226,1687,225,1696,225,1699,226,1706,233,1707,236,1707,241,1707,245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8"/>
        </w:rPr>
        <w:t> </w:t>
      </w:r>
      <w:r>
        <w:rPr>
          <w:color w:val="6E6158"/>
        </w:rPr>
        <w:t>“Playing</w:t>
      </w:r>
      <w:r>
        <w:rPr>
          <w:color w:val="6E6158"/>
          <w:spacing w:val="8"/>
        </w:rPr>
        <w:t> </w:t>
      </w:r>
      <w:r>
        <w:rPr>
          <w:color w:val="6E6158"/>
        </w:rPr>
        <w:t>By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Non-Compete</w:t>
      </w:r>
      <w:r>
        <w:rPr>
          <w:color w:val="6E6158"/>
          <w:spacing w:val="9"/>
        </w:rPr>
        <w:t> </w:t>
      </w:r>
      <w:r>
        <w:rPr>
          <w:color w:val="6E6158"/>
        </w:rPr>
        <w:t>Rules,”</w:t>
      </w:r>
      <w:r>
        <w:rPr>
          <w:color w:val="6E6158"/>
          <w:spacing w:val="8"/>
        </w:rPr>
        <w:t> </w:t>
      </w:r>
      <w:r>
        <w:rPr>
          <w:color w:val="6E6158"/>
        </w:rPr>
        <w:t>Western</w:t>
      </w:r>
      <w:r>
        <w:rPr>
          <w:color w:val="6E6158"/>
          <w:spacing w:val="8"/>
        </w:rPr>
        <w:t> </w:t>
      </w:r>
      <w:r>
        <w:rPr>
          <w:color w:val="6E6158"/>
        </w:rPr>
        <w:t>Growers</w:t>
      </w:r>
      <w:r>
        <w:rPr>
          <w:color w:val="6E6158"/>
          <w:spacing w:val="9"/>
        </w:rPr>
        <w:t> </w:t>
      </w:r>
      <w:r>
        <w:rPr>
          <w:color w:val="6E6158"/>
        </w:rPr>
        <w:t>Webinar,</w:t>
      </w:r>
      <w:r>
        <w:rPr>
          <w:color w:val="6E6158"/>
          <w:spacing w:val="8"/>
        </w:rPr>
        <w:t> </w:t>
      </w:r>
      <w:r>
        <w:rPr>
          <w:color w:val="6E6158"/>
        </w:rPr>
        <w:t>April</w:t>
      </w:r>
      <w:r>
        <w:rPr>
          <w:color w:val="6E6158"/>
          <w:spacing w:val="9"/>
        </w:rPr>
        <w:t> </w:t>
      </w:r>
      <w:r>
        <w:rPr>
          <w:color w:val="6E6158"/>
        </w:rPr>
        <w:t>17,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2024.</w:t>
      </w:r>
    </w:p>
    <w:p>
      <w:pPr>
        <w:pStyle w:val="BodyText"/>
        <w:spacing w:line="302" w:lineRule="auto"/>
        <w:ind w:right="7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268018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3811pt;width:1.65pt;height:1.65pt;mso-position-horizontal-relative:page;mso-position-vertical-relative:paragraph;z-index:15738368" id="docshape25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2">
        <w:r>
          <w:rPr>
            <w:color w:val="F5821F"/>
          </w:rPr>
          <w:t>Webinar navigates Perishable Agricultural Commodities Act</w:t>
        </w:r>
      </w:hyperlink>
      <w:r>
        <w:rPr>
          <w:color w:val="6E6158"/>
        </w:rPr>
        <w:t>,” The Sentinel-</w:t>
      </w:r>
      <w:r>
        <w:rPr>
          <w:color w:val="6E6158"/>
        </w:rPr>
        <w:t>Record, April 15, 2024</w:t>
      </w:r>
    </w:p>
    <w:p>
      <w:pPr>
        <w:pStyle w:val="BodyText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130965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2208pt;width:1.65pt;height:1.65pt;mso-position-horizontal-relative:page;mso-position-vertical-relative:paragraph;z-index:15738880" id="docshape26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8"/>
        </w:rPr>
        <w:t> </w:t>
      </w:r>
      <w:r>
        <w:rPr>
          <w:color w:val="6E6158"/>
        </w:rPr>
        <w:t>“</w:t>
      </w:r>
      <w:hyperlink r:id="rId13">
        <w:r>
          <w:rPr>
            <w:color w:val="F5821F"/>
          </w:rPr>
          <w:t>Ten</w:t>
        </w:r>
        <w:r>
          <w:rPr>
            <w:color w:val="F5821F"/>
            <w:spacing w:val="8"/>
          </w:rPr>
          <w:t> </w:t>
        </w:r>
        <w:r>
          <w:rPr>
            <w:color w:val="F5821F"/>
          </w:rPr>
          <w:t>Steps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to</w:t>
        </w:r>
        <w:r>
          <w:rPr>
            <w:color w:val="F5821F"/>
            <w:spacing w:val="8"/>
          </w:rPr>
          <w:t> </w:t>
        </w:r>
        <w:r>
          <w:rPr>
            <w:color w:val="F5821F"/>
          </w:rPr>
          <w:t>Fight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Freight</w:t>
        </w:r>
        <w:r>
          <w:rPr>
            <w:color w:val="F5821F"/>
            <w:spacing w:val="8"/>
          </w:rPr>
          <w:t> </w:t>
        </w:r>
        <w:r>
          <w:rPr>
            <w:color w:val="F5821F"/>
          </w:rPr>
          <w:t>Fraud</w:t>
        </w:r>
      </w:hyperlink>
      <w:r>
        <w:rPr>
          <w:color w:val="6E6158"/>
        </w:rPr>
        <w:t>,”</w:t>
      </w:r>
      <w:r>
        <w:rPr>
          <w:color w:val="6E6158"/>
          <w:spacing w:val="9"/>
        </w:rPr>
        <w:t> </w:t>
      </w:r>
      <w:r>
        <w:rPr>
          <w:color w:val="6E6158"/>
        </w:rPr>
        <w:t>Fennemore</w:t>
      </w:r>
      <w:r>
        <w:rPr>
          <w:color w:val="6E6158"/>
          <w:spacing w:val="8"/>
        </w:rPr>
        <w:t> </w:t>
      </w:r>
      <w:r>
        <w:rPr>
          <w:color w:val="6E6158"/>
        </w:rPr>
        <w:t>Client</w:t>
      </w:r>
      <w:r>
        <w:rPr>
          <w:color w:val="6E6158"/>
          <w:spacing w:val="8"/>
        </w:rPr>
        <w:t> </w:t>
      </w:r>
      <w:r>
        <w:rPr>
          <w:color w:val="6E6158"/>
        </w:rPr>
        <w:t>Alert,</w:t>
      </w:r>
      <w:r>
        <w:rPr>
          <w:color w:val="6E6158"/>
          <w:spacing w:val="9"/>
        </w:rPr>
        <w:t> </w:t>
      </w:r>
      <w:r>
        <w:rPr>
          <w:color w:val="6E6158"/>
        </w:rPr>
        <w:t>April</w:t>
      </w:r>
      <w:r>
        <w:rPr>
          <w:color w:val="6E6158"/>
          <w:spacing w:val="8"/>
        </w:rPr>
        <w:t> </w:t>
      </w:r>
      <w:r>
        <w:rPr>
          <w:color w:val="6E6158"/>
        </w:rPr>
        <w:t>5,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/>
        <w:ind w:right="5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263296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32014pt;width:1.65pt;height:1.65pt;mso-position-horizontal-relative:page;mso-position-vertical-relative:paragraph;z-index:15739392" id="docshape27" coordorigin="1675,415" coordsize="33,33" path="m1696,447l1687,447,1683,446,1676,439,1675,435,1675,426,1676,423,1683,416,1687,415,1696,415,1699,416,1706,423,1707,426,1707,431,1707,435,1706,439,1699,446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4">
        <w:r>
          <w:rPr>
            <w:color w:val="F5821F"/>
          </w:rPr>
          <w:t>Thursday Thoughts with June Monroe: Employment Changes Taking Effect in the</w:t>
        </w:r>
      </w:hyperlink>
      <w:r>
        <w:rPr>
          <w:color w:val="F5821F"/>
        </w:rPr>
        <w:t> </w:t>
      </w:r>
      <w:hyperlink r:id="rId14">
        <w:r>
          <w:rPr>
            <w:color w:val="F5821F"/>
          </w:rPr>
          <w:t>Agribusiness Industry in 2024</w:t>
        </w:r>
      </w:hyperlink>
      <w:r>
        <w:rPr>
          <w:color w:val="6E6158"/>
        </w:rPr>
        <w:t>,” Fennemore Blog, March 21, 2024</w:t>
      </w:r>
    </w:p>
    <w:p>
      <w:pPr>
        <w:pStyle w:val="BodyText"/>
        <w:spacing w:line="292" w:lineRule="auto" w:before="132"/>
        <w:ind w:right="7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236256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2869pt;width:1.65pt;height:1.65pt;mso-position-horizontal-relative:page;mso-position-vertical-relative:paragraph;z-index:15739904" id="docshape28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</w:t>
      </w:r>
      <w:hyperlink r:id="rId15">
        <w:r>
          <w:rPr>
            <w:color w:val="F5821F"/>
          </w:rPr>
          <w:t>PACA LAW with June Monroe of Fennemore Law,</w:t>
        </w:r>
      </w:hyperlink>
      <w:r>
        <w:rPr>
          <w:color w:val="6E6158"/>
        </w:rPr>
        <w:t>” The Produce Industry Podcast with Patrick Kelly, Episode 376, January 14, 2024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230718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6826pt;width:1.65pt;height:1.65pt;mso-position-horizontal-relative:page;mso-position-vertical-relative:paragraph;z-index:15740416" id="docshape29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</w:t>
      </w:r>
      <w:hyperlink r:id="rId16">
        <w:r>
          <w:rPr>
            <w:color w:val="F5821F"/>
          </w:rPr>
          <w:t>CalBar 8.3 “Snitch Rule” – Required Misconduct Reporting </w:t>
        </w:r>
        <w:r>
          <w:rPr>
            <w:color w:val="F5821F"/>
          </w:rPr>
          <w:t>Featuring</w:t>
        </w:r>
      </w:hyperlink>
      <w:r>
        <w:rPr>
          <w:color w:val="6E6158"/>
        </w:rPr>
        <w:t>,” Orangecountylawyers.com, July 17, 2023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  <w:ind w:right="5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1440" id="docshape30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7">
        <w:r>
          <w:rPr>
            <w:color w:val="F5821F"/>
          </w:rPr>
          <w:t>Author, “It’s berry hard to believe, but growers and marketers may not be jointly liable for</w:t>
        </w:r>
      </w:hyperlink>
      <w:r>
        <w:rPr>
          <w:color w:val="F5821F"/>
        </w:rPr>
        <w:t> </w:t>
      </w:r>
      <w:hyperlink r:id="rId17">
        <w:r>
          <w:rPr>
            <w:color w:val="F5821F"/>
          </w:rPr>
          <w:t>laborers’ wages, even in California,” Fennemore Client Alert, June 14, 2023</w:t>
        </w:r>
      </w:hyperlink>
    </w:p>
    <w:p>
      <w:pPr>
        <w:pStyle w:val="BodyText"/>
        <w:spacing w:line="292" w:lineRule="auto" w:before="132"/>
        <w:ind w:right="5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236190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683pt;width:1.65pt;height:1.65pt;mso-position-horizontal-relative:page;mso-position-vertical-relative:paragraph;z-index:15741952" id="docshape31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“It’s berry hard to believe, but growers and marketers may not be jointly liable for laborers’</w:t>
      </w:r>
      <w:r>
        <w:rPr>
          <w:color w:val="6E6158"/>
          <w:spacing w:val="37"/>
        </w:rPr>
        <w:t> </w:t>
      </w:r>
      <w:r>
        <w:rPr>
          <w:color w:val="6E6158"/>
        </w:rPr>
        <w:t>wages,</w:t>
      </w:r>
      <w:r>
        <w:rPr>
          <w:color w:val="6E6158"/>
          <w:spacing w:val="37"/>
        </w:rPr>
        <w:t> </w:t>
      </w:r>
      <w:r>
        <w:rPr>
          <w:color w:val="6E6158"/>
        </w:rPr>
        <w:t>even</w:t>
      </w:r>
      <w:r>
        <w:rPr>
          <w:color w:val="6E6158"/>
          <w:spacing w:val="37"/>
        </w:rPr>
        <w:t> </w:t>
      </w:r>
      <w:r>
        <w:rPr>
          <w:color w:val="6E6158"/>
        </w:rPr>
        <w:t>in</w:t>
      </w:r>
      <w:r>
        <w:rPr>
          <w:color w:val="6E6158"/>
          <w:spacing w:val="37"/>
        </w:rPr>
        <w:t> </w:t>
      </w:r>
      <w:r>
        <w:rPr>
          <w:color w:val="6E6158"/>
        </w:rPr>
        <w:t>California,”</w:t>
      </w:r>
      <w:r>
        <w:rPr>
          <w:color w:val="6E6158"/>
          <w:spacing w:val="37"/>
        </w:rPr>
        <w:t> </w:t>
      </w:r>
      <w:r>
        <w:rPr>
          <w:color w:val="6E6158"/>
        </w:rPr>
        <w:t>California</w:t>
      </w:r>
      <w:r>
        <w:rPr>
          <w:color w:val="6E6158"/>
          <w:spacing w:val="37"/>
        </w:rPr>
        <w:t> </w:t>
      </w:r>
      <w:r>
        <w:rPr>
          <w:color w:val="6E6158"/>
        </w:rPr>
        <w:t>Lawyers</w:t>
      </w:r>
      <w:r>
        <w:rPr>
          <w:color w:val="6E6158"/>
          <w:spacing w:val="37"/>
        </w:rPr>
        <w:t> </w:t>
      </w:r>
      <w:r>
        <w:rPr>
          <w:color w:val="6E6158"/>
        </w:rPr>
        <w:t>Association,</w:t>
      </w:r>
      <w:r>
        <w:rPr>
          <w:color w:val="6E6158"/>
          <w:spacing w:val="37"/>
        </w:rPr>
        <w:t> </w:t>
      </w:r>
      <w:r>
        <w:rPr>
          <w:color w:val="6E6158"/>
        </w:rPr>
        <w:t>June</w:t>
      </w:r>
      <w:r>
        <w:rPr>
          <w:color w:val="6E6158"/>
          <w:spacing w:val="37"/>
        </w:rPr>
        <w:t> </w:t>
      </w:r>
      <w:r>
        <w:rPr>
          <w:color w:val="6E6158"/>
        </w:rPr>
        <w:t>14,</w:t>
      </w:r>
      <w:r>
        <w:rPr>
          <w:color w:val="6E6158"/>
          <w:spacing w:val="37"/>
        </w:rPr>
        <w:t> </w:t>
      </w:r>
      <w:r>
        <w:rPr>
          <w:color w:val="6E6158"/>
        </w:rPr>
        <w:t>2023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230653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655pt;width:1.65pt;height:1.65pt;mso-position-horizontal-relative:page;mso-position-vertical-relative:paragraph;z-index:15742464" id="docshape32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“Veggie Wars” seminar, National Agricultural Law Center, Western Agricultural &amp; Environmental Law Conference, May 4-5, 2023</w:t>
      </w:r>
    </w:p>
    <w:p>
      <w:pPr>
        <w:pStyle w:val="BodyText"/>
        <w:spacing w:line="292" w:lineRule="auto" w:before="131"/>
        <w:ind w:right="7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235997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504pt;width:1.65pt;height:1.65pt;mso-position-horizontal-relative:page;mso-position-vertical-relative:paragraph;z-index:15742976" id="docshape33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“Immigration Law for Agribusiness Employers” webinar, California </w:t>
      </w:r>
      <w:r>
        <w:rPr>
          <w:color w:val="6E6158"/>
        </w:rPr>
        <w:t>Lawyers Association, Business Law Section, Agribusiness Committee, March 21, 2023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143250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9602pt;width:1.65pt;height:1.65pt;mso-position-horizontal-relative:page;mso-position-vertical-relative:paragraph;z-index:15743488" id="docshape34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8">
        <w:r>
          <w:rPr>
            <w:color w:val="F5821F"/>
          </w:rPr>
          <w:t>Interview,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“If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you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want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it,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go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get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it,”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Fennemore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Blog,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December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8,</w:t>
        </w:r>
        <w:r>
          <w:rPr>
            <w:color w:val="F5821F"/>
            <w:spacing w:val="10"/>
          </w:rPr>
          <w:t> </w:t>
        </w:r>
        <w:r>
          <w:rPr>
            <w:color w:val="F5821F"/>
            <w:spacing w:val="-4"/>
          </w:rPr>
          <w:t>2022</w:t>
        </w:r>
      </w:hyperlink>
    </w:p>
    <w:p>
      <w:pPr>
        <w:pStyle w:val="BodyText"/>
        <w:spacing w:line="302" w:lineRule="auto"/>
        <w:ind w:right="5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267962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9396pt;width:1.65pt;height:1.65pt;mso-position-horizontal-relative:page;mso-position-vertical-relative:paragraph;z-index:15744000" id="docshape35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“OCWLA Featured Member, June Monroe,” Orange County Women </w:t>
      </w:r>
      <w:r>
        <w:rPr>
          <w:color w:val="6E6158"/>
        </w:rPr>
        <w:t>Lawyers Association, November 14, 2022</w:t>
      </w:r>
    </w:p>
    <w:p>
      <w:pPr>
        <w:pStyle w:val="BodyText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136076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14678pt;width:1.65pt;height:1.65pt;mso-position-horizontal-relative:page;mso-position-vertical-relative:paragraph;z-index:15744512" id="docshape36" coordorigin="1675,214" coordsize="33,33" path="m1696,247l1687,247,1683,245,1676,239,1675,235,1675,226,1676,222,1683,216,1687,214,1696,214,1699,216,1706,222,1707,226,1707,231,1707,235,1706,239,1699,245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“PACA</w:t>
      </w:r>
      <w:r>
        <w:rPr>
          <w:color w:val="6E6158"/>
          <w:spacing w:val="9"/>
        </w:rPr>
        <w:t> </w:t>
      </w:r>
      <w:r>
        <w:rPr>
          <w:color w:val="6E6158"/>
        </w:rPr>
        <w:t>Trust,”</w:t>
      </w:r>
      <w:r>
        <w:rPr>
          <w:color w:val="6E6158"/>
          <w:spacing w:val="9"/>
        </w:rPr>
        <w:t> </w:t>
      </w:r>
      <w:r>
        <w:rPr>
          <w:color w:val="6E6158"/>
        </w:rPr>
        <w:t>On-Demand</w:t>
      </w:r>
      <w:r>
        <w:rPr>
          <w:color w:val="6E6158"/>
          <w:spacing w:val="9"/>
        </w:rPr>
        <w:t> </w:t>
      </w:r>
      <w:r>
        <w:rPr>
          <w:color w:val="6E6158"/>
        </w:rPr>
        <w:t>Webinar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Blue</w:t>
      </w:r>
      <w:r>
        <w:rPr>
          <w:color w:val="6E6158"/>
          <w:spacing w:val="9"/>
        </w:rPr>
        <w:t> </w:t>
      </w:r>
      <w:r>
        <w:rPr>
          <w:color w:val="6E6158"/>
        </w:rPr>
        <w:t>Book</w:t>
      </w:r>
      <w:r>
        <w:rPr>
          <w:color w:val="6E6158"/>
          <w:spacing w:val="10"/>
        </w:rPr>
        <w:t> </w:t>
      </w:r>
      <w:r>
        <w:rPr>
          <w:color w:val="6E6158"/>
        </w:rPr>
        <w:t>Services,</w:t>
      </w:r>
      <w:r>
        <w:rPr>
          <w:color w:val="6E6158"/>
          <w:spacing w:val="9"/>
        </w:rPr>
        <w:t> </w:t>
      </w:r>
      <w:r>
        <w:rPr>
          <w:color w:val="6E6158"/>
        </w:rPr>
        <w:t>Inc.’s</w:t>
      </w:r>
      <w:r>
        <w:rPr>
          <w:color w:val="6E6158"/>
          <w:spacing w:val="9"/>
        </w:rPr>
        <w:t> </w:t>
      </w:r>
      <w:r>
        <w:rPr>
          <w:color w:val="6E6158"/>
        </w:rPr>
        <w:t>New</w:t>
      </w:r>
      <w:r>
        <w:rPr>
          <w:color w:val="6E6158"/>
          <w:spacing w:val="9"/>
        </w:rPr>
        <w:t> </w:t>
      </w:r>
      <w:r>
        <w:rPr>
          <w:color w:val="6E6158"/>
        </w:rPr>
        <w:t>Hire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Academy</w:t>
      </w:r>
    </w:p>
    <w:p>
      <w:pPr>
        <w:pStyle w:val="Heading1"/>
        <w:spacing w:before="2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506104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850719pt;width:1.65pt;height:1.65pt;mso-position-horizontal-relative:page;mso-position-vertical-relative:paragraph;z-index:15745024" id="docshape37" coordorigin="1675,797" coordsize="33,33" path="m1696,830l1687,830,1683,828,1676,822,1675,818,1675,809,1676,805,1683,799,1687,797,1696,797,1699,799,1706,805,1707,809,1707,813,1707,818,1706,822,1699,828,1696,8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FF8100"/>
          <w:spacing w:val="-2"/>
        </w:rPr>
        <w:t>ADMISSIONS</w:t>
      </w:r>
    </w:p>
    <w:p>
      <w:pPr>
        <w:pStyle w:val="BodyText"/>
        <w:spacing w:before="7"/>
        <w:ind w:left="0"/>
        <w:rPr>
          <w:b/>
          <w:sz w:val="9"/>
        </w:rPr>
      </w:pPr>
      <w:r>
        <w:rPr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1063521</wp:posOffset>
                </wp:positionH>
                <wp:positionV relativeFrom="paragraph">
                  <wp:posOffset>90348</wp:posOffset>
                </wp:positionV>
                <wp:extent cx="20955" cy="20955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114081pt;width:1.65pt;height:1.65pt;mso-position-horizontal-relative:page;mso-position-vertical-relative:paragraph;z-index:-15716352;mso-wrap-distance-left:0;mso-wrap-distance-right:0" id="docshape38" coordorigin="1675,142" coordsize="33,33" path="m1696,175l1687,175,1683,173,1676,167,1675,163,1675,154,1676,150,1683,144,1687,142,1696,142,1699,144,1706,150,1707,154,1707,159,1707,163,1706,167,1699,173,1696,175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2"/>
      </w:pPr>
      <w:r>
        <w:rPr>
          <w:color w:val="6E6158"/>
          <w:spacing w:val="-2"/>
        </w:rPr>
        <w:t>California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175162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2294pt;width:1.65pt;height:1.65pt;mso-position-horizontal-relative:page;mso-position-vertical-relative:paragraph;z-index:15745536" id="docshape39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170031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8337pt;width:1.65pt;height:1.65pt;mso-position-horizontal-relative:page;mso-position-vertical-relative:paragraph;z-index:15746048" id="docshape40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175148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1257pt;width:1.65pt;height:1.65pt;mso-position-horizontal-relative:page;mso-position-vertical-relative:paragraph;z-index:15746560" id="docshape41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175098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7302pt;width:1.65pt;height:1.65pt;mso-position-horizontal-relative:page;mso-position-vertical-relative:paragraph;z-index:15747072" id="docshape42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Southern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74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agribusiness/" TargetMode="External"/><Relationship Id="rId9" Type="http://schemas.openxmlformats.org/officeDocument/2006/relationships/hyperlink" Target="https://www.fennemorelaw.com/contact-us/orange-county/" TargetMode="External"/><Relationship Id="rId10" Type="http://schemas.openxmlformats.org/officeDocument/2006/relationships/hyperlink" Target="mailto:jmonroe@fennemorelaw.com" TargetMode="External"/><Relationship Id="rId11" Type="http://schemas.openxmlformats.org/officeDocument/2006/relationships/hyperlink" Target="https://www.fennemorelaw.com/finding-work-life-balance-as-a-legal-professional/" TargetMode="External"/><Relationship Id="rId12" Type="http://schemas.openxmlformats.org/officeDocument/2006/relationships/hyperlink" Target="https://www.hotsr.com/news/2024/apr/15/webinar-navigates-perishable-agricultural/" TargetMode="External"/><Relationship Id="rId13" Type="http://schemas.openxmlformats.org/officeDocument/2006/relationships/hyperlink" Target="https://mailchi.mp/fennemorelaw/fennmore-general-elections-federal-and-state-update-dont-let-it-surprise-you-15828874?e=92ddb0f1de" TargetMode="External"/><Relationship Id="rId14" Type="http://schemas.openxmlformats.org/officeDocument/2006/relationships/hyperlink" Target="https://www.fennemorelaw.com/thursday-thoughts-with-june-monroe-employment-changes-taking-effect-in-the-agribusiness-industry-in-2024/" TargetMode="External"/><Relationship Id="rId15" Type="http://schemas.openxmlformats.org/officeDocument/2006/relationships/hyperlink" Target="https://podcasters.spotify.com/pod/show/theproduceindustrypodcast/episodes/PACA-Law-w-June-Monroe-of-Fennmore-Law---EP376-e2eeqte/a-aarife1" TargetMode="External"/><Relationship Id="rId16" Type="http://schemas.openxmlformats.org/officeDocument/2006/relationships/hyperlink" Target="https://www.orangecountylawyers.com/news/california-bar-rule-8-3-misconduct/" TargetMode="External"/><Relationship Id="rId17" Type="http://schemas.openxmlformats.org/officeDocument/2006/relationships/hyperlink" Target="https://mailchi.mp/ee2206c7ee9f/fennmore-general-elections-federal-and-state-update-dont-let-it-surprise-you-15828586?e=6383ff8993" TargetMode="External"/><Relationship Id="rId18" Type="http://schemas.openxmlformats.org/officeDocument/2006/relationships/hyperlink" Target="https://bit.ly/3uyPTqI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2025-03-27T20:44:03Z</dcterms:created>
  <dcterms:modified xsi:type="dcterms:W3CDTF">2025-03-27T20:44:03Z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2025-03-27T00:00:00Z</vt:filetime>
  </property>
  <property fmtid="{D5CDD505-2E9C-101B-9397-08002B2CF9AE}" pid="5" name="Producer">
    <vt:lpwstr>Skia/PDF m117</vt:lpwstr>
  </property>
</Properties>
</file>