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6379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37915"/>
                          <a:chExt cx="6066790" cy="36379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9310">
                                <a:moveTo>
                                  <a:pt x="3033212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68908" y="763308"/>
                            <a:ext cx="15748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KATHERINE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A. BOWLES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155891" y="2133494"/>
                            <a:ext cx="8007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Orange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County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949.752.0953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390358" y="2603719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78444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46902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949.752.0953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06775" y="2975766"/>
                            <a:ext cx="14992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kbowles@fennemorelaw.com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86.45pt;mso-position-horizontal-relative:page;mso-position-vertical-relative:page;z-index:15728640" id="docshapegroup1" coordorigin="1341,560" coordsize="9554,572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5306" type="#_x0000_t75" id="docshape3" stroked="false">
                  <v:imagedata r:id="rId7" o:title=""/>
                </v:shape>
                <v:rect style="position:absolute;left:6117;top:983;width:4777;height:5306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76;top:1762;width:248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KATHERINE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A. BOWLES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885;top:3919;width:1261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Orange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County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949.430.3437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949.752.0953</w:t>
                        </w:r>
                      </w:p>
                    </w:txbxContent>
                  </v:textbox>
                  <w10:wrap type="none"/>
                </v:shape>
                <v:shape style="position:absolute;left:8255;top:4660;width:522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912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949.430.3437</w:t>
                        </w:r>
                      </w:p>
                    </w:txbxContent>
                  </v:textbox>
                  <w10:wrap type="none"/>
                </v:shape>
                <v:shape style="position:absolute;left:8816;top:4912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949.752.0953</w:t>
                        </w:r>
                      </w:p>
                    </w:txbxContent>
                  </v:textbox>
                  <w10:wrap type="none"/>
                </v:shape>
                <v:shape style="position:absolute;left:7336;top:5246;width:2361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kbowles@fennemorelaw.com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KATHERINE</w:t>
      </w:r>
      <w:r>
        <w:rPr>
          <w:color w:val="FF8100"/>
          <w:spacing w:val="8"/>
        </w:rPr>
        <w:t> </w:t>
      </w:r>
      <w:r>
        <w:rPr>
          <w:color w:val="FF8100"/>
        </w:rPr>
        <w:t>A.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BOWLES</w:t>
      </w:r>
    </w:p>
    <w:p>
      <w:pPr>
        <w:pStyle w:val="BodyText"/>
        <w:spacing w:line="292" w:lineRule="auto" w:before="147"/>
        <w:ind w:left="104" w:right="480"/>
      </w:pPr>
      <w:r>
        <w:rPr>
          <w:color w:val="6E6158"/>
        </w:rPr>
        <w:t>Kate Bowles draws upon her in-depth litigation experience and background as a Registered</w:t>
      </w:r>
      <w:r>
        <w:rPr>
          <w:color w:val="6E6158"/>
          <w:spacing w:val="40"/>
        </w:rPr>
        <w:t> </w:t>
      </w:r>
      <w:r>
        <w:rPr>
          <w:color w:val="6E6158"/>
        </w:rPr>
        <w:t>Nurse to bring deep industry knowledge and expertise when representing clients. Focusing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investigation,</w:t>
      </w:r>
      <w:r>
        <w:rPr>
          <w:color w:val="6E6158"/>
          <w:spacing w:val="40"/>
        </w:rPr>
        <w:t> </w:t>
      </w:r>
      <w:r>
        <w:rPr>
          <w:color w:val="6E6158"/>
        </w:rPr>
        <w:t>enforcement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Medicare/Medi-Cal</w:t>
      </w:r>
      <w:r>
        <w:rPr>
          <w:color w:val="6E6158"/>
          <w:spacing w:val="40"/>
        </w:rPr>
        <w:t> </w:t>
      </w:r>
      <w:r>
        <w:rPr>
          <w:color w:val="6E6158"/>
        </w:rPr>
        <w:t>Fraud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Abuse,</w:t>
      </w:r>
      <w:r>
        <w:rPr>
          <w:color w:val="6E6158"/>
          <w:spacing w:val="40"/>
        </w:rPr>
        <w:t> </w:t>
      </w:r>
      <w:r>
        <w:rPr>
          <w:color w:val="6E6158"/>
        </w:rPr>
        <w:t>Stark</w:t>
      </w:r>
    </w:p>
    <w:p>
      <w:pPr>
        <w:pStyle w:val="BodyText"/>
        <w:spacing w:line="292" w:lineRule="auto" w:before="10"/>
        <w:ind w:left="104"/>
      </w:pPr>
      <w:r>
        <w:rPr>
          <w:color w:val="6E6158"/>
        </w:rPr>
        <w:t>Law\Anti-Kickback Statute, payor disputes and business litigation, Kate uses her first-</w:t>
      </w:r>
      <w:r>
        <w:rPr>
          <w:color w:val="6E6158"/>
        </w:rPr>
        <w:t>hand understanding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challenges</w:t>
      </w:r>
      <w:r>
        <w:rPr>
          <w:color w:val="6E6158"/>
          <w:spacing w:val="36"/>
        </w:rPr>
        <w:t> </w:t>
      </w:r>
      <w:r>
        <w:rPr>
          <w:color w:val="6E6158"/>
        </w:rPr>
        <w:t>faced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clients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achieve</w:t>
      </w:r>
      <w:r>
        <w:rPr>
          <w:color w:val="6E6158"/>
          <w:spacing w:val="36"/>
        </w:rPr>
        <w:t> </w:t>
      </w:r>
      <w:r>
        <w:rPr>
          <w:color w:val="6E6158"/>
        </w:rPr>
        <w:t>exceptional</w:t>
      </w:r>
      <w:r>
        <w:rPr>
          <w:color w:val="6E6158"/>
          <w:spacing w:val="36"/>
        </w:rPr>
        <w:t> </w:t>
      </w:r>
      <w:r>
        <w:rPr>
          <w:color w:val="6E6158"/>
        </w:rPr>
        <w:t>results.</w:t>
      </w:r>
    </w:p>
    <w:p>
      <w:pPr>
        <w:pStyle w:val="BodyText"/>
        <w:spacing w:line="295" w:lineRule="auto" w:before="197"/>
        <w:ind w:left="104" w:right="480"/>
      </w:pPr>
      <w:r>
        <w:rPr>
          <w:color w:val="6E6158"/>
        </w:rPr>
        <w:t>Kate’s experience encompasses all aspects of healthcare, including traditional healthcare</w:t>
      </w:r>
      <w:r>
        <w:rPr>
          <w:color w:val="6E6158"/>
          <w:spacing w:val="40"/>
        </w:rPr>
        <w:t> </w:t>
      </w:r>
      <w:r>
        <w:rPr>
          <w:color w:val="6E6158"/>
        </w:rPr>
        <w:t>systems and emerging groups in the outpatient sector, such as managed care health plans, Medi-Cal enrolled health plans and community support providers, ERISA health plans, </w:t>
      </w:r>
      <w:r>
        <w:rPr>
          <w:color w:val="6E6158"/>
        </w:rPr>
        <w:t>surgery</w:t>
      </w:r>
      <w:r>
        <w:rPr>
          <w:color w:val="6E6158"/>
          <w:spacing w:val="40"/>
        </w:rPr>
        <w:t> </w:t>
      </w:r>
      <w:r>
        <w:rPr>
          <w:color w:val="6E6158"/>
        </w:rPr>
        <w:t>centers, telehealth providers, outpatient mental health, home health, infusion pharmacy,</w:t>
      </w:r>
      <w:r>
        <w:rPr>
          <w:color w:val="6E6158"/>
          <w:spacing w:val="40"/>
        </w:rPr>
        <w:t> </w:t>
      </w:r>
      <w:r>
        <w:rPr>
          <w:color w:val="6E6158"/>
        </w:rPr>
        <w:t>physical</w:t>
      </w:r>
      <w:r>
        <w:rPr>
          <w:color w:val="6E6158"/>
          <w:spacing w:val="40"/>
        </w:rPr>
        <w:t> </w:t>
      </w:r>
      <w:r>
        <w:rPr>
          <w:color w:val="6E6158"/>
        </w:rPr>
        <w:t>therapy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rehabilitation,</w:t>
      </w:r>
      <w:r>
        <w:rPr>
          <w:color w:val="6E6158"/>
          <w:spacing w:val="40"/>
        </w:rPr>
        <w:t> </w:t>
      </w:r>
      <w:r>
        <w:rPr>
          <w:color w:val="6E6158"/>
        </w:rPr>
        <w:t>hospital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anesthesia</w:t>
      </w:r>
      <w:r>
        <w:rPr>
          <w:color w:val="6E6158"/>
          <w:spacing w:val="40"/>
        </w:rPr>
        <w:t> </w:t>
      </w:r>
      <w:r>
        <w:rPr>
          <w:color w:val="6E6158"/>
        </w:rPr>
        <w:t>support,</w:t>
      </w:r>
      <w:r>
        <w:rPr>
          <w:color w:val="6E6158"/>
          <w:spacing w:val="40"/>
        </w:rPr>
        <w:t> </w:t>
      </w:r>
      <w:r>
        <w:rPr>
          <w:color w:val="6E6158"/>
        </w:rPr>
        <w:t>care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</w:p>
    <w:p>
      <w:pPr>
        <w:pStyle w:val="BodyText"/>
        <w:spacing w:line="292" w:lineRule="auto" w:before="7"/>
        <w:ind w:left="104" w:right="230"/>
      </w:pPr>
      <w:r>
        <w:rPr>
          <w:color w:val="6E6158"/>
        </w:rPr>
        <w:t>support, medical, and nursing provider groups, and more. Representing a diversity of providers</w:t>
      </w:r>
      <w:r>
        <w:rPr>
          <w:color w:val="6E6158"/>
          <w:spacing w:val="40"/>
        </w:rPr>
        <w:t> </w:t>
      </w:r>
      <w:r>
        <w:rPr>
          <w:color w:val="6E6158"/>
        </w:rPr>
        <w:t>allows Kate to effectively evaluate the motivations of various participants within the </w:t>
      </w:r>
      <w:r>
        <w:rPr>
          <w:color w:val="6E6158"/>
        </w:rPr>
        <w:t>healthcare</w:t>
      </w:r>
      <w:r>
        <w:rPr>
          <w:color w:val="6E6158"/>
          <w:spacing w:val="40"/>
        </w:rPr>
        <w:t> </w:t>
      </w:r>
      <w:r>
        <w:rPr>
          <w:color w:val="6E6158"/>
        </w:rPr>
        <w:t>industry and take advantage of emerging trends.</w:t>
      </w:r>
    </w:p>
    <w:p>
      <w:pPr>
        <w:pStyle w:val="BodyText"/>
        <w:spacing w:line="297" w:lineRule="auto" w:before="197"/>
        <w:ind w:left="104" w:right="230"/>
      </w:pPr>
      <w:r>
        <w:rPr>
          <w:color w:val="6E6158"/>
        </w:rPr>
        <w:t>Kate handles all aspects of litigation from filing to finish, including trial, mediation, and </w:t>
      </w:r>
      <w:r>
        <w:rPr>
          <w:color w:val="6E6158"/>
        </w:rPr>
        <w:t>arbitration</w:t>
      </w:r>
      <w:r>
        <w:rPr>
          <w:color w:val="6E6158"/>
          <w:spacing w:val="80"/>
        </w:rPr>
        <w:t> </w:t>
      </w:r>
      <w:r>
        <w:rPr>
          <w:color w:val="6E6158"/>
        </w:rPr>
        <w:t>of disputes. Kate also brings to her practice a focus on compliance and prevention of disputes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regularly</w:t>
      </w:r>
      <w:r>
        <w:rPr>
          <w:color w:val="6E6158"/>
          <w:spacing w:val="29"/>
        </w:rPr>
        <w:t> </w:t>
      </w:r>
      <w:r>
        <w:rPr>
          <w:color w:val="6E6158"/>
        </w:rPr>
        <w:t>advises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how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streamline</w:t>
      </w:r>
      <w:r>
        <w:rPr>
          <w:color w:val="6E6158"/>
          <w:spacing w:val="29"/>
        </w:rPr>
        <w:t> </w:t>
      </w:r>
      <w:r>
        <w:rPr>
          <w:color w:val="6E6158"/>
        </w:rPr>
        <w:t>their</w:t>
      </w:r>
      <w:r>
        <w:rPr>
          <w:color w:val="6E6158"/>
          <w:spacing w:val="29"/>
        </w:rPr>
        <w:t> </w:t>
      </w:r>
      <w:r>
        <w:rPr>
          <w:color w:val="6E6158"/>
        </w:rPr>
        <w:t>businesses,</w:t>
      </w:r>
      <w:r>
        <w:rPr>
          <w:color w:val="6E6158"/>
          <w:spacing w:val="29"/>
        </w:rPr>
        <w:t> </w:t>
      </w:r>
      <w:r>
        <w:rPr>
          <w:color w:val="6E6158"/>
        </w:rPr>
        <w:t>reduce</w:t>
      </w:r>
      <w:r>
        <w:rPr>
          <w:color w:val="6E6158"/>
          <w:spacing w:val="29"/>
        </w:rPr>
        <w:t> </w:t>
      </w:r>
      <w:r>
        <w:rPr>
          <w:color w:val="6E6158"/>
        </w:rPr>
        <w:t>risk,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increase</w:t>
      </w:r>
    </w:p>
    <w:p>
      <w:pPr>
        <w:pStyle w:val="BodyText"/>
        <w:spacing w:line="297" w:lineRule="auto"/>
        <w:ind w:left="104" w:right="480"/>
      </w:pPr>
      <w:r>
        <w:rPr>
          <w:color w:val="6E6158"/>
        </w:rPr>
        <w:t>compliance. In this era of data mining, artificial intelligence, and the rise of hackers, it is ever-</w:t>
      </w:r>
      <w:r>
        <w:rPr>
          <w:color w:val="6E6158"/>
          <w:spacing w:val="40"/>
        </w:rPr>
        <w:t> </w:t>
      </w:r>
      <w:r>
        <w:rPr>
          <w:color w:val="6E6158"/>
        </w:rPr>
        <w:t>more important for clients to take a “big picture” approach to healthcare compliance and</w:t>
      </w:r>
      <w:r>
        <w:rPr>
          <w:color w:val="6E6158"/>
          <w:spacing w:val="40"/>
        </w:rPr>
        <w:t> </w:t>
      </w:r>
      <w:r>
        <w:rPr>
          <w:color w:val="6E6158"/>
        </w:rPr>
        <w:t>data protection.</w:t>
      </w:r>
    </w:p>
    <w:p>
      <w:pPr>
        <w:pStyle w:val="BodyText"/>
        <w:spacing w:line="292" w:lineRule="auto" w:before="188"/>
        <w:ind w:left="104" w:right="391"/>
      </w:pPr>
      <w:r>
        <w:rPr>
          <w:color w:val="6E6158"/>
        </w:rPr>
        <w:t>Kate is licensed throughout California including the U.S. District Courts for the Eastern, </w:t>
      </w:r>
      <w:r>
        <w:rPr>
          <w:color w:val="6E6158"/>
        </w:rPr>
        <w:t>Central</w:t>
      </w:r>
      <w:r>
        <w:rPr>
          <w:color w:val="6E6158"/>
          <w:spacing w:val="40"/>
        </w:rPr>
        <w:t> </w:t>
      </w:r>
      <w:r>
        <w:rPr>
          <w:color w:val="6E6158"/>
        </w:rPr>
        <w:t>and Southern Districts of California and the Ninth Circuit Court of Appeal.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5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157934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49pt;width:1.65pt;height:1.65pt;mso-position-horizontal-relative:page;mso-position-vertical-relative:paragraph;z-index:15729152" id="docshape1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Pepperdine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168513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8749pt;width:1.65pt;height:1.65pt;mso-position-horizontal-relative:page;mso-position-vertical-relative:paragraph;z-index:15729664" id="docshape15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Pennsylvania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0176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0688" id="docshape1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674682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4626pt;width:1.65pt;height:1.65pt;mso-position-horizontal-relative:page;mso-position-vertical-relative:paragraph;z-index:15731200" id="docshape18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ERISA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157749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224pt;width:1.65pt;height:1.65pt;mso-position-horizontal-relative:page;mso-position-vertical-relative:paragraph;z-index:15731712" id="docshape1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“Nursing</w:t>
      </w:r>
      <w:r>
        <w:rPr>
          <w:color w:val="6E6158"/>
          <w:spacing w:val="8"/>
        </w:rPr>
        <w:t> </w:t>
      </w:r>
      <w:r>
        <w:rPr>
          <w:color w:val="6E6158"/>
        </w:rPr>
        <w:t>Impact</w:t>
      </w:r>
      <w:r>
        <w:rPr>
          <w:color w:val="6E6158"/>
          <w:spacing w:val="8"/>
        </w:rPr>
        <w:t> </w:t>
      </w:r>
      <w:r>
        <w:rPr>
          <w:color w:val="6E6158"/>
        </w:rPr>
        <w:t>Litigation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8"/>
        </w:rPr>
        <w:t> </w:t>
      </w:r>
      <w:r>
        <w:rPr>
          <w:color w:val="6E6158"/>
        </w:rPr>
        <w:t>Tale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Two</w:t>
      </w:r>
      <w:r>
        <w:rPr>
          <w:color w:val="6E6158"/>
          <w:spacing w:val="8"/>
        </w:rPr>
        <w:t> </w:t>
      </w:r>
      <w:r>
        <w:rPr>
          <w:color w:val="6E6158"/>
        </w:rPr>
        <w:t>Matters,”</w:t>
      </w:r>
      <w:r>
        <w:rPr>
          <w:color w:val="6E6158"/>
          <w:spacing w:val="8"/>
        </w:rPr>
        <w:t> </w:t>
      </w:r>
      <w:r>
        <w:rPr>
          <w:color w:val="6E6158"/>
        </w:rPr>
        <w:t>JD</w:t>
      </w:r>
      <w:r>
        <w:rPr>
          <w:color w:val="6E6158"/>
          <w:spacing w:val="8"/>
        </w:rPr>
        <w:t> </w:t>
      </w:r>
      <w:r>
        <w:rPr>
          <w:color w:val="6E6158"/>
        </w:rPr>
        <w:t>Supra,</w:t>
      </w:r>
      <w:r>
        <w:rPr>
          <w:color w:val="6E6158"/>
          <w:spacing w:val="8"/>
        </w:rPr>
        <w:t> </w:t>
      </w:r>
      <w:r>
        <w:rPr>
          <w:color w:val="6E6158"/>
        </w:rPr>
        <w:t>March</w:t>
      </w:r>
      <w:r>
        <w:rPr>
          <w:color w:val="6E6158"/>
          <w:spacing w:val="8"/>
        </w:rPr>
        <w:t> </w:t>
      </w:r>
      <w:r>
        <w:rPr>
          <w:color w:val="6E6158"/>
        </w:rPr>
        <w:t>18,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3"/>
        <w:ind w:left="356" w:right="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267855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1019pt;width:1.65pt;height:1.65pt;mso-position-horizontal-relative:page;mso-position-vertical-relative:paragraph;z-index:15732224" id="docshape20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“Lessons Learned from ERISA Health Plan Representation and Recommendations </w:t>
      </w:r>
      <w:r>
        <w:rPr>
          <w:color w:val="6E6158"/>
        </w:rPr>
        <w:t>for Plan Design and Oversight,” JD Supra, February 19, 2025</w:t>
      </w:r>
    </w:p>
    <w:p>
      <w:pPr>
        <w:pStyle w:val="BodyText"/>
        <w:spacing w:line="292" w:lineRule="auto" w:before="113"/>
        <w:ind w:left="356" w:right="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224449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3174pt;width:1.65pt;height:1.65pt;mso-position-horizontal-relative:page;mso-position-vertical-relative:paragraph;z-index:15732736" id="docshape2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“Regulatory Landscape of Insurance Claims Denial Practices and Suggestions for </w:t>
      </w:r>
      <w:r>
        <w:rPr>
          <w:color w:val="6E6158"/>
        </w:rPr>
        <w:t>a Path Forward to a Sustainable Healthcare Future,” JD Supra, January 31, 2025</w:t>
      </w:r>
    </w:p>
    <w:p>
      <w:pPr>
        <w:pStyle w:val="BodyText"/>
        <w:spacing w:line="302" w:lineRule="auto" w:before="124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236144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023pt;width:1.65pt;height:1.65pt;mso-position-horizontal-relative:page;mso-position-vertical-relative:paragraph;z-index:15733248" id="docshape2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Department of Public Health (CDPH) ‘All Facilities Letter’ and Survey Activities</w:t>
      </w:r>
      <w:r>
        <w:rPr>
          <w:color w:val="6E6158"/>
          <w:spacing w:val="14"/>
        </w:rPr>
        <w:t> </w:t>
      </w:r>
      <w:r>
        <w:rPr>
          <w:color w:val="6E6158"/>
        </w:rPr>
        <w:t>Impacting</w:t>
      </w:r>
      <w:r>
        <w:rPr>
          <w:color w:val="6E6158"/>
          <w:spacing w:val="14"/>
        </w:rPr>
        <w:t> </w:t>
      </w:r>
      <w:r>
        <w:rPr>
          <w:color w:val="6E6158"/>
        </w:rPr>
        <w:t>Nurse</w:t>
      </w:r>
      <w:r>
        <w:rPr>
          <w:color w:val="6E6158"/>
          <w:spacing w:val="14"/>
        </w:rPr>
        <w:t> </w:t>
      </w:r>
      <w:r>
        <w:rPr>
          <w:color w:val="6E6158"/>
        </w:rPr>
        <w:t>Anesthesiology</w:t>
      </w:r>
      <w:r>
        <w:rPr>
          <w:color w:val="6E6158"/>
          <w:spacing w:val="15"/>
        </w:rPr>
        <w:t> </w:t>
      </w:r>
      <w:r>
        <w:rPr>
          <w:color w:val="6E6158"/>
        </w:rPr>
        <w:t>Scope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Practice,”</w:t>
      </w:r>
      <w:r>
        <w:rPr>
          <w:color w:val="6E6158"/>
          <w:spacing w:val="15"/>
        </w:rPr>
        <w:t> </w:t>
      </w:r>
      <w:r>
        <w:rPr>
          <w:color w:val="6E6158"/>
        </w:rPr>
        <w:t>JD</w:t>
      </w:r>
      <w:r>
        <w:rPr>
          <w:color w:val="6E6158"/>
          <w:spacing w:val="14"/>
        </w:rPr>
        <w:t> </w:t>
      </w:r>
      <w:r>
        <w:rPr>
          <w:color w:val="6E6158"/>
        </w:rPr>
        <w:t>Supra,</w:t>
      </w:r>
      <w:r>
        <w:rPr>
          <w:color w:val="6E6158"/>
          <w:spacing w:val="14"/>
        </w:rPr>
        <w:t> </w:t>
      </w:r>
      <w:r>
        <w:rPr>
          <w:color w:val="6E6158"/>
        </w:rPr>
        <w:t>December</w:t>
      </w:r>
      <w:r>
        <w:rPr>
          <w:color w:val="6E6158"/>
          <w:spacing w:val="15"/>
        </w:rPr>
        <w:t> </w:t>
      </w:r>
      <w:r>
        <w:rPr>
          <w:color w:val="6E6158"/>
        </w:rPr>
        <w:t>9,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12"/>
        <w:ind w:left="356" w:right="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223852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6179pt;width:1.65pt;height:1.65pt;mso-position-horizontal-relative:page;mso-position-vertical-relative:paragraph;z-index:15733760" id="docshape23" coordorigin="1675,353" coordsize="33,33" path="m1696,385l1687,385,1683,383,1676,377,1675,373,1675,364,1676,360,1683,354,1687,353,1696,353,1699,354,1706,360,1707,364,1707,369,1707,373,1706,377,1699,383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CalAIM Initiative on Enhanced Care Management and Community </w:t>
      </w:r>
      <w:r>
        <w:rPr>
          <w:color w:val="6E6158"/>
        </w:rPr>
        <w:t>Supports, 2024 CSHA Annual Meeting and Spring SeminarLegal Update, May 3, 2024</w:t>
      </w:r>
    </w:p>
    <w:p>
      <w:pPr>
        <w:pStyle w:val="BodyText"/>
        <w:spacing w:line="302" w:lineRule="auto"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236182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029pt;width:1.65pt;height:1.65pt;mso-position-horizontal-relative:page;mso-position-vertical-relative:paragraph;z-index:15734272" id="docshape24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CIGNA’s New CRNA Payment Policy Adds Fuel To The Fire, Coronis Health, October 27, </w:t>
      </w:r>
      <w:r>
        <w:rPr>
          <w:color w:val="6E6158"/>
          <w:spacing w:val="-4"/>
        </w:rPr>
        <w:t>2023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167918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21919pt;width:1.65pt;height:1.65pt;mso-position-horizontal-relative:page;mso-position-vertical-relative:paragraph;z-index:15734784" id="docshape25" coordorigin="1675,264" coordsize="33,33" path="m1696,297l1687,297,1683,295,1676,289,1675,285,1675,276,1676,272,1683,266,1687,264,1696,264,1699,266,1706,272,1707,276,1707,281,1707,285,1706,289,1699,295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5"/>
          <w:position w:val="7"/>
          <w:sz w:val="16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Stars,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184075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4143pt;width:1.65pt;height:1.65pt;mso-position-horizontal-relative:page;mso-position-vertical-relative:paragraph;z-index:15735296" id="docshape26" coordorigin="1675,290" coordsize="33,33" path="m1696,322l1687,322,1683,321,1676,314,1675,311,1675,302,1676,298,1683,291,1687,290,1696,290,1699,291,1706,298,1707,302,1707,306,1707,311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Health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Care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2025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152851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578pt;width:1.65pt;height:1.65pt;mso-position-horizontal-relative:page;mso-position-vertical-relative:paragraph;z-index:15735808" id="docshape2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range-county/" TargetMode="External"/><Relationship Id="rId10" Type="http://schemas.openxmlformats.org/officeDocument/2006/relationships/hyperlink" Target="https://www.fennemorelaw.com/contact-us/fresno/" TargetMode="External"/><Relationship Id="rId11" Type="http://schemas.openxmlformats.org/officeDocument/2006/relationships/hyperlink" Target="mailto:kbowle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2025-03-18T23:18:20Z</dcterms:created>
  <dcterms:modified xsi:type="dcterms:W3CDTF">2025-03-18T23:18:20Z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2025-03-18T00:00:00Z</vt:filetime>
  </property>
  <property fmtid="{D5CDD505-2E9C-101B-9397-08002B2CF9AE}" pid="5" name="Producer">
    <vt:lpwstr>Skia/PDF m117</vt:lpwstr>
  </property>
</Properties>
</file>