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738755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738755"/>
                          <a:chExt cx="6066790" cy="273875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268700"/>
                            <a:ext cx="6066790" cy="2470150"/>
                          </a:xfrm>
                          <a:prstGeom prst="rect">
                            <a:avLst/>
                          </a:pr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0" w:lineRule="auto" w:before="133"/>
                                <w:rPr>
                                  <w:rFonts w:ascii="Times New Roman"/>
                                  <w:color w:val="000000"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16" w:right="716" w:firstLine="0"/>
                                <w:jc w:val="center"/>
                                <w:rPr>
                                  <w:b/>
                                  <w:color w:val="000000"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Mining Law and Public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Lands</w:t>
                              </w:r>
                            </w:p>
                            <w:p>
                              <w:pPr>
                                <w:spacing w:line="240" w:lineRule="auto" w:before="91"/>
                                <w:rPr>
                                  <w:b/>
                                  <w:color w:val="000000"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line="247" w:lineRule="auto" w:before="0"/>
                                <w:ind w:left="716" w:right="714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than135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years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representing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 minerals development.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15.65pt;mso-position-horizontal-relative:char;mso-position-vertical-relative:line" id="docshapegroup1" coordorigin="0,0" coordsize="9554,4313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23;width:9554;height:3890" type="#_x0000_t202" id="docshape4" filled="true" fillcolor="#262424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42"/>
                          </w:rPr>
                        </w:pPr>
                      </w:p>
                      <w:p>
                        <w:pPr>
                          <w:spacing w:line="240" w:lineRule="auto" w:before="133"/>
                          <w:rPr>
                            <w:rFonts w:ascii="Times New Roman"/>
                            <w:color w:val="000000"/>
                            <w:sz w:val="42"/>
                          </w:rPr>
                        </w:pPr>
                      </w:p>
                      <w:p>
                        <w:pPr>
                          <w:spacing w:before="0"/>
                          <w:ind w:left="716" w:right="716" w:firstLine="0"/>
                          <w:jc w:val="center"/>
                          <w:rPr>
                            <w:b/>
                            <w:color w:val="000000"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Mining Law and Public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Lands</w:t>
                        </w:r>
                      </w:p>
                      <w:p>
                        <w:pPr>
                          <w:spacing w:line="240" w:lineRule="auto" w:before="91"/>
                          <w:rPr>
                            <w:b/>
                            <w:color w:val="000000"/>
                            <w:sz w:val="42"/>
                          </w:rPr>
                        </w:pPr>
                      </w:p>
                      <w:p>
                        <w:pPr>
                          <w:spacing w:line="247" w:lineRule="auto" w:before="0"/>
                          <w:ind w:left="716" w:right="714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have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more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than135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years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representing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 minerals development.</w:t>
                        </w:r>
                      </w:p>
                    </w:txbxContent>
                  </v:textbox>
                  <v:fill opacity="53713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212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37"/>
        <w:ind w:left="0"/>
        <w:rPr>
          <w:b/>
          <w:sz w:val="20"/>
        </w:rPr>
      </w:pPr>
    </w:p>
    <w:p>
      <w:pPr>
        <w:spacing w:before="1"/>
        <w:ind w:left="5859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-21243</wp:posOffset>
            </wp:positionV>
            <wp:extent cx="1395174" cy="139517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16"/>
          </w:rPr>
          <w:t>MINING</w:t>
        </w:r>
        <w:r>
          <w:rPr>
            <w:spacing w:val="5"/>
            <w:sz w:val="16"/>
          </w:rPr>
          <w:t> </w:t>
        </w:r>
        <w:r>
          <w:rPr>
            <w:spacing w:val="-5"/>
            <w:sz w:val="16"/>
          </w:rPr>
          <w:t>LAW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0"/>
        <w:ind w:left="5859" w:right="2740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0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Sarah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A.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Strunk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3"/>
        <w:ind w:left="5859" w:right="0" w:firstLine="0"/>
        <w:jc w:val="left"/>
        <w:rPr>
          <w:b/>
          <w:sz w:val="12"/>
        </w:rPr>
      </w:pPr>
      <w:hyperlink r:id="rId12">
        <w:r>
          <w:rPr>
            <w:b/>
            <w:sz w:val="12"/>
          </w:rPr>
          <w:t>San</w:t>
        </w:r>
        <w:r>
          <w:rPr>
            <w:b/>
            <w:spacing w:val="2"/>
            <w:sz w:val="12"/>
          </w:rPr>
          <w:t> </w:t>
        </w:r>
        <w:r>
          <w:rPr>
            <w:b/>
            <w:spacing w:val="-2"/>
            <w:sz w:val="12"/>
          </w:rPr>
          <w:t>Diego</w:t>
        </w:r>
      </w:hyperlink>
    </w:p>
    <w:p>
      <w:pPr>
        <w:spacing w:before="15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602.916.5327</w:t>
      </w:r>
    </w:p>
    <w:p>
      <w:pPr>
        <w:spacing w:before="8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619.231.4372</w:t>
      </w:r>
    </w:p>
    <w:p>
      <w:pPr>
        <w:spacing w:line="266" w:lineRule="auto" w:before="16"/>
        <w:ind w:left="5859" w:right="2740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sstrunk@fennemorela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pStyle w:val="BodyText"/>
        <w:spacing w:before="259"/>
        <w:ind w:left="0"/>
        <w:rPr>
          <w:sz w:val="24"/>
        </w:rPr>
      </w:pPr>
    </w:p>
    <w:p>
      <w:pPr>
        <w:pStyle w:val="Title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line="295" w:lineRule="auto" w:before="147"/>
        <w:ind w:right="572"/>
      </w:pPr>
      <w:r>
        <w:rPr>
          <w:color w:val="6E6158"/>
        </w:rPr>
        <w:t>We have more than 130 years of experience representing clients in mineral industry. This includes</w:t>
      </w:r>
      <w:r>
        <w:rPr>
          <w:color w:val="6E6158"/>
          <w:spacing w:val="80"/>
        </w:rPr>
        <w:t> </w:t>
      </w:r>
      <w:r>
        <w:rPr>
          <w:color w:val="6E6158"/>
        </w:rPr>
        <w:t>all facets of exploration, development and operation. Our mining law attorneys advise clients </w:t>
      </w:r>
      <w:r>
        <w:rPr>
          <w:color w:val="6E6158"/>
        </w:rPr>
        <w:t>on</w:t>
      </w:r>
      <w:r>
        <w:rPr>
          <w:color w:val="6E6158"/>
          <w:spacing w:val="40"/>
        </w:rPr>
        <w:t> </w:t>
      </w:r>
      <w:r>
        <w:rPr>
          <w:color w:val="6E6158"/>
        </w:rPr>
        <w:t>due diligence, mineral title examinations, mining claim locations, maintenance and disputes. We</w:t>
      </w:r>
      <w:r>
        <w:rPr>
          <w:color w:val="6E6158"/>
          <w:spacing w:val="40"/>
        </w:rPr>
        <w:t> </w:t>
      </w:r>
      <w:r>
        <w:rPr>
          <w:color w:val="6E6158"/>
        </w:rPr>
        <w:t>can</w:t>
      </w:r>
      <w:r>
        <w:rPr>
          <w:color w:val="6E6158"/>
          <w:spacing w:val="34"/>
        </w:rPr>
        <w:t> </w:t>
      </w:r>
      <w:r>
        <w:rPr>
          <w:color w:val="6E6158"/>
        </w:rPr>
        <w:t>assist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drafting</w:t>
      </w:r>
      <w:r>
        <w:rPr>
          <w:color w:val="6E6158"/>
          <w:spacing w:val="34"/>
        </w:rPr>
        <w:t> </w:t>
      </w:r>
      <w:r>
        <w:rPr>
          <w:color w:val="6E6158"/>
        </w:rPr>
        <w:t>exploration</w:t>
      </w:r>
      <w:r>
        <w:rPr>
          <w:color w:val="6E6158"/>
          <w:spacing w:val="34"/>
        </w:rPr>
        <w:t> </w:t>
      </w:r>
      <w:r>
        <w:rPr>
          <w:color w:val="6E6158"/>
        </w:rPr>
        <w:t>agreements,</w:t>
      </w:r>
      <w:r>
        <w:rPr>
          <w:color w:val="6E6158"/>
          <w:spacing w:val="34"/>
        </w:rPr>
        <w:t> </w:t>
      </w:r>
      <w:r>
        <w:rPr>
          <w:color w:val="6E6158"/>
        </w:rPr>
        <w:t>including</w:t>
      </w:r>
      <w:r>
        <w:rPr>
          <w:color w:val="6E6158"/>
          <w:spacing w:val="34"/>
        </w:rPr>
        <w:t> </w:t>
      </w:r>
      <w:r>
        <w:rPr>
          <w:color w:val="6E6158"/>
        </w:rPr>
        <w:t>joint</w:t>
      </w:r>
      <w:r>
        <w:rPr>
          <w:color w:val="6E6158"/>
          <w:spacing w:val="34"/>
        </w:rPr>
        <w:t> </w:t>
      </w:r>
      <w:r>
        <w:rPr>
          <w:color w:val="6E6158"/>
        </w:rPr>
        <w:t>ventures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farm</w:t>
      </w:r>
      <w:r>
        <w:rPr>
          <w:color w:val="6E6158"/>
          <w:spacing w:val="34"/>
        </w:rPr>
        <w:t> </w:t>
      </w:r>
      <w:r>
        <w:rPr>
          <w:color w:val="6E6158"/>
        </w:rPr>
        <w:t>in/out</w:t>
      </w:r>
    </w:p>
    <w:p>
      <w:pPr>
        <w:pStyle w:val="BodyText"/>
        <w:spacing w:line="295" w:lineRule="auto" w:before="1"/>
        <w:ind w:right="596"/>
      </w:pPr>
      <w:r>
        <w:rPr>
          <w:color w:val="6E6158"/>
        </w:rPr>
        <w:t>agreements; purchase and sale agreements of mining properties; contract operating and</w:t>
      </w:r>
      <w:r>
        <w:rPr>
          <w:color w:val="6E6158"/>
          <w:spacing w:val="40"/>
        </w:rPr>
        <w:t> </w:t>
      </w:r>
      <w:r>
        <w:rPr>
          <w:color w:val="6E6158"/>
        </w:rPr>
        <w:t>production agreements; marketing and tolling agreements of base and precious metals; as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as derivative transactions, including exchange-traded and off-exchange transactions as well as</w:t>
      </w:r>
      <w:r>
        <w:rPr>
          <w:color w:val="6E6158"/>
          <w:spacing w:val="40"/>
        </w:rPr>
        <w:t> </w:t>
      </w:r>
      <w:r>
        <w:rPr>
          <w:color w:val="6E6158"/>
        </w:rPr>
        <w:t>finance arrangements.</w:t>
      </w:r>
    </w:p>
    <w:p>
      <w:pPr>
        <w:pStyle w:val="BodyText"/>
        <w:spacing w:line="292" w:lineRule="auto" w:before="204"/>
        <w:ind w:right="572"/>
      </w:pPr>
      <w:r>
        <w:rPr>
          <w:color w:val="6E6158"/>
        </w:rPr>
        <w:t>We have helped our clients permit exploration campaigns, greenfield mining projects and mine</w:t>
      </w:r>
      <w:r>
        <w:rPr>
          <w:color w:val="6E6158"/>
          <w:spacing w:val="40"/>
        </w:rPr>
        <w:t> </w:t>
      </w:r>
      <w:r>
        <w:rPr>
          <w:color w:val="6E6158"/>
        </w:rPr>
        <w:t>expansions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state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federal</w:t>
      </w:r>
      <w:r>
        <w:rPr>
          <w:color w:val="6E6158"/>
          <w:spacing w:val="24"/>
        </w:rPr>
        <w:t> </w:t>
      </w:r>
      <w:r>
        <w:rPr>
          <w:color w:val="6E6158"/>
        </w:rPr>
        <w:t>land.</w:t>
      </w:r>
      <w:r>
        <w:rPr>
          <w:color w:val="6E6158"/>
          <w:spacing w:val="24"/>
        </w:rPr>
        <w:t> </w:t>
      </w:r>
      <w:r>
        <w:rPr>
          <w:color w:val="6E6158"/>
        </w:rPr>
        <w:t>Then</w:t>
      </w:r>
      <w:r>
        <w:rPr>
          <w:color w:val="6E6158"/>
          <w:spacing w:val="24"/>
        </w:rPr>
        <w:t> </w:t>
      </w:r>
      <w:r>
        <w:rPr>
          <w:color w:val="6E6158"/>
        </w:rPr>
        <w:t>we</w:t>
      </w:r>
      <w:r>
        <w:rPr>
          <w:color w:val="6E6158"/>
          <w:spacing w:val="24"/>
        </w:rPr>
        <w:t> </w:t>
      </w:r>
      <w:r>
        <w:rPr>
          <w:color w:val="6E6158"/>
        </w:rPr>
        <w:t>help</w:t>
      </w:r>
      <w:r>
        <w:rPr>
          <w:color w:val="6E6158"/>
          <w:spacing w:val="24"/>
        </w:rPr>
        <w:t> </w:t>
      </w:r>
      <w:r>
        <w:rPr>
          <w:color w:val="6E6158"/>
        </w:rPr>
        <w:t>defend</w:t>
      </w:r>
      <w:r>
        <w:rPr>
          <w:color w:val="6E6158"/>
          <w:spacing w:val="24"/>
        </w:rPr>
        <w:t> </w:t>
      </w:r>
      <w:r>
        <w:rPr>
          <w:color w:val="6E6158"/>
        </w:rPr>
        <w:t>those</w:t>
      </w:r>
      <w:r>
        <w:rPr>
          <w:color w:val="6E6158"/>
          <w:spacing w:val="24"/>
        </w:rPr>
        <w:t> </w:t>
      </w:r>
      <w:r>
        <w:rPr>
          <w:color w:val="6E6158"/>
        </w:rPr>
        <w:t>permits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suits</w:t>
      </w:r>
      <w:r>
        <w:rPr>
          <w:color w:val="6E6158"/>
          <w:spacing w:val="24"/>
        </w:rPr>
        <w:t> </w:t>
      </w:r>
      <w:r>
        <w:rPr>
          <w:color w:val="6E6158"/>
        </w:rPr>
        <w:t>filed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state and</w:t>
      </w:r>
      <w:r>
        <w:rPr>
          <w:color w:val="6E6158"/>
          <w:spacing w:val="36"/>
        </w:rPr>
        <w:t> </w:t>
      </w:r>
      <w:r>
        <w:rPr>
          <w:color w:val="6E6158"/>
        </w:rPr>
        <w:t>federal</w:t>
      </w:r>
      <w:r>
        <w:rPr>
          <w:color w:val="6E6158"/>
          <w:spacing w:val="36"/>
        </w:rPr>
        <w:t> </w:t>
      </w:r>
      <w:r>
        <w:rPr>
          <w:color w:val="6E6158"/>
        </w:rPr>
        <w:t>court</w:t>
      </w:r>
      <w:r>
        <w:rPr>
          <w:color w:val="6E6158"/>
          <w:spacing w:val="36"/>
        </w:rPr>
        <w:t> </w:t>
      </w:r>
      <w:r>
        <w:rPr>
          <w:color w:val="6E6158"/>
        </w:rPr>
        <w:t>against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authorizing</w:t>
      </w:r>
      <w:r>
        <w:rPr>
          <w:color w:val="6E6158"/>
          <w:spacing w:val="36"/>
        </w:rPr>
        <w:t> </w:t>
      </w:r>
      <w:r>
        <w:rPr>
          <w:color w:val="6E6158"/>
        </w:rPr>
        <w:t>land</w:t>
      </w:r>
      <w:r>
        <w:rPr>
          <w:color w:val="6E6158"/>
          <w:spacing w:val="36"/>
        </w:rPr>
        <w:t> </w:t>
      </w:r>
      <w:r>
        <w:rPr>
          <w:color w:val="6E6158"/>
        </w:rPr>
        <w:t>or</w:t>
      </w:r>
      <w:r>
        <w:rPr>
          <w:color w:val="6E6158"/>
          <w:spacing w:val="36"/>
        </w:rPr>
        <w:t> </w:t>
      </w:r>
      <w:r>
        <w:rPr>
          <w:color w:val="6E6158"/>
        </w:rPr>
        <w:t>program</w:t>
      </w:r>
      <w:r>
        <w:rPr>
          <w:color w:val="6E6158"/>
          <w:spacing w:val="36"/>
        </w:rPr>
        <w:t> </w:t>
      </w:r>
      <w:r>
        <w:rPr>
          <w:color w:val="6E6158"/>
        </w:rPr>
        <w:t>management</w:t>
      </w:r>
      <w:r>
        <w:rPr>
          <w:color w:val="6E6158"/>
          <w:spacing w:val="36"/>
        </w:rPr>
        <w:t> </w:t>
      </w:r>
      <w:r>
        <w:rPr>
          <w:color w:val="6E6158"/>
        </w:rPr>
        <w:t>agencies.</w:t>
      </w:r>
    </w:p>
    <w:p>
      <w:pPr>
        <w:pStyle w:val="BodyText"/>
        <w:spacing w:line="297" w:lineRule="auto" w:before="198"/>
        <w:ind w:right="332"/>
      </w:pPr>
      <w:r>
        <w:rPr>
          <w:color w:val="6E6158"/>
        </w:rPr>
        <w:t>Our work for clients encompasses projects related to mining laws and regulations throughout the</w:t>
      </w:r>
      <w:r>
        <w:rPr>
          <w:color w:val="6E6158"/>
          <w:spacing w:val="40"/>
        </w:rPr>
        <w:t> </w:t>
      </w:r>
      <w:r>
        <w:rPr>
          <w:color w:val="6E6158"/>
        </w:rPr>
        <w:t>United</w:t>
      </w:r>
      <w:r>
        <w:rPr>
          <w:color w:val="6E6158"/>
          <w:spacing w:val="30"/>
        </w:rPr>
        <w:t> </w:t>
      </w:r>
      <w:r>
        <w:rPr>
          <w:color w:val="6E6158"/>
        </w:rPr>
        <w:t>States,</w:t>
      </w:r>
      <w:r>
        <w:rPr>
          <w:color w:val="6E6158"/>
          <w:spacing w:val="30"/>
        </w:rPr>
        <w:t> </w:t>
      </w:r>
      <w:r>
        <w:rPr>
          <w:color w:val="6E6158"/>
        </w:rPr>
        <w:t>Mexico,</w:t>
      </w:r>
      <w:r>
        <w:rPr>
          <w:color w:val="6E6158"/>
          <w:spacing w:val="30"/>
        </w:rPr>
        <w:t> </w:t>
      </w:r>
      <w:r>
        <w:rPr>
          <w:color w:val="6E6158"/>
        </w:rPr>
        <w:t>Canada,</w:t>
      </w:r>
      <w:r>
        <w:rPr>
          <w:color w:val="6E6158"/>
          <w:spacing w:val="30"/>
        </w:rPr>
        <w:t> </w:t>
      </w:r>
      <w:r>
        <w:rPr>
          <w:color w:val="6E6158"/>
        </w:rPr>
        <w:t>South</w:t>
      </w:r>
      <w:r>
        <w:rPr>
          <w:color w:val="6E6158"/>
          <w:spacing w:val="30"/>
        </w:rPr>
        <w:t> </w:t>
      </w:r>
      <w:r>
        <w:rPr>
          <w:color w:val="6E6158"/>
        </w:rPr>
        <w:t>America,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Pacific</w:t>
      </w:r>
      <w:r>
        <w:rPr>
          <w:color w:val="6E6158"/>
          <w:spacing w:val="30"/>
        </w:rPr>
        <w:t> </w:t>
      </w:r>
      <w:r>
        <w:rPr>
          <w:color w:val="6E6158"/>
        </w:rPr>
        <w:t>Rim,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Republic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South</w:t>
      </w:r>
      <w:r>
        <w:rPr>
          <w:color w:val="6E6158"/>
          <w:spacing w:val="30"/>
        </w:rPr>
        <w:t> </w:t>
      </w:r>
      <w:r>
        <w:rPr>
          <w:color w:val="6E6158"/>
        </w:rPr>
        <w:t>Africa, and</w:t>
      </w:r>
      <w:r>
        <w:rPr>
          <w:color w:val="6E6158"/>
          <w:spacing w:val="23"/>
        </w:rPr>
        <w:t> </w:t>
      </w:r>
      <w:r>
        <w:rPr>
          <w:color w:val="6E6158"/>
        </w:rPr>
        <w:t>elsewhere</w:t>
      </w:r>
      <w:r>
        <w:rPr>
          <w:color w:val="6E6158"/>
          <w:spacing w:val="23"/>
        </w:rPr>
        <w:t> </w:t>
      </w:r>
      <w:r>
        <w:rPr>
          <w:color w:val="6E6158"/>
        </w:rPr>
        <w:t>around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world.</w:t>
      </w:r>
      <w:r>
        <w:rPr>
          <w:color w:val="6E6158"/>
          <w:spacing w:val="23"/>
        </w:rPr>
        <w:t> </w:t>
      </w:r>
      <w:r>
        <w:rPr>
          <w:color w:val="6E6158"/>
        </w:rPr>
        <w:t>Our</w:t>
      </w:r>
      <w:r>
        <w:rPr>
          <w:color w:val="6E6158"/>
          <w:spacing w:val="23"/>
        </w:rPr>
        <w:t> </w:t>
      </w:r>
      <w:r>
        <w:rPr>
          <w:color w:val="6E6158"/>
        </w:rPr>
        <w:t>mining</w:t>
      </w:r>
      <w:r>
        <w:rPr>
          <w:color w:val="6E6158"/>
          <w:spacing w:val="23"/>
        </w:rPr>
        <w:t> </w:t>
      </w:r>
      <w:r>
        <w:rPr>
          <w:color w:val="6E6158"/>
        </w:rPr>
        <w:t>lawyers</w:t>
      </w:r>
      <w:r>
        <w:rPr>
          <w:color w:val="6E6158"/>
          <w:spacing w:val="23"/>
        </w:rPr>
        <w:t> </w:t>
      </w:r>
      <w:r>
        <w:rPr>
          <w:color w:val="6E6158"/>
        </w:rPr>
        <w:t>work</w:t>
      </w:r>
      <w:r>
        <w:rPr>
          <w:color w:val="6E6158"/>
          <w:spacing w:val="23"/>
        </w:rPr>
        <w:t> </w:t>
      </w:r>
      <w:r>
        <w:rPr>
          <w:color w:val="6E6158"/>
        </w:rPr>
        <w:t>closely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team,</w:t>
      </w:r>
      <w:r>
        <w:rPr>
          <w:color w:val="6E6158"/>
          <w:spacing w:val="23"/>
        </w:rPr>
        <w:t> </w:t>
      </w:r>
      <w:r>
        <w:rPr>
          <w:color w:val="6E6158"/>
        </w:rPr>
        <w:t>providing</w:t>
      </w:r>
      <w:r>
        <w:rPr>
          <w:color w:val="6E6158"/>
          <w:spacing w:val="25"/>
        </w:rPr>
        <w:t> </w:t>
      </w:r>
      <w:r>
        <w:rPr>
          <w:color w:val="6E6158"/>
        </w:rPr>
        <w:t>finance</w:t>
      </w:r>
    </w:p>
    <w:p>
      <w:pPr>
        <w:pStyle w:val="BodyText"/>
        <w:spacing w:line="292" w:lineRule="auto"/>
        <w:ind w:right="572"/>
      </w:pPr>
      <w:r>
        <w:rPr>
          <w:color w:val="6E6158"/>
        </w:rPr>
        <w:t>law, tax, business entity advice, employment, </w:t>
      </w:r>
      <w:hyperlink r:id="rId14">
        <w:r>
          <w:rPr>
            <w:color w:val="FF8100"/>
            <w:u w:val="single" w:color="6E6158"/>
          </w:rPr>
          <w:t>creditors’ r</w:t>
        </w:r>
        <w:r>
          <w:rPr>
            <w:color w:val="FF8100"/>
            <w:u w:val="none"/>
          </w:rPr>
          <w:t>ig</w:t>
        </w:r>
        <w:r>
          <w:rPr>
            <w:color w:val="FF8100"/>
            <w:u w:val="single" w:color="6E6158"/>
          </w:rPr>
          <w:t>hts law</w:t>
        </w:r>
      </w:hyperlink>
      <w:r>
        <w:rPr>
          <w:color w:val="6E6158"/>
          <w:u w:val="none"/>
        </w:rPr>
        <w:t>, environmental, </w:t>
      </w:r>
      <w:r>
        <w:rPr>
          <w:color w:val="6E6158"/>
          <w:u w:val="none"/>
        </w:rPr>
        <w:t>endangered</w:t>
      </w:r>
      <w:r>
        <w:rPr>
          <w:color w:val="6E6158"/>
          <w:spacing w:val="40"/>
          <w:u w:val="none"/>
        </w:rPr>
        <w:t> </w:t>
      </w:r>
      <w:r>
        <w:rPr>
          <w:color w:val="6E6158"/>
          <w:u w:val="none"/>
        </w:rPr>
        <w:t>species act work, water rights and public lands experience to a mining project.</w:t>
      </w:r>
    </w:p>
    <w:sectPr>
      <w:type w:val="continuous"/>
      <w:pgSz w:w="12240" w:h="15840"/>
      <w:pgMar w:top="5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64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mining-law-and-public-lands/" TargetMode="External"/><Relationship Id="rId10" Type="http://schemas.openxmlformats.org/officeDocument/2006/relationships/hyperlink" Target="https://www.fennemorelaw.com/services/business-and-finance/" TargetMode="External"/><Relationship Id="rId11" Type="http://schemas.openxmlformats.org/officeDocument/2006/relationships/hyperlink" Target="https://www.fennemorelaw.com/people/attorneys/sarah-a-strunk/" TargetMode="External"/><Relationship Id="rId12" Type="http://schemas.openxmlformats.org/officeDocument/2006/relationships/hyperlink" Target="https://www.fennemorelaw.com/contact-us/#san-diego" TargetMode="External"/><Relationship Id="rId13" Type="http://schemas.openxmlformats.org/officeDocument/2006/relationships/hyperlink" Target="mailto:sstrunk@fennemorelaw.com" TargetMode="External"/><Relationship Id="rId14" Type="http://schemas.openxmlformats.org/officeDocument/2006/relationships/hyperlink" Target="https://www.fennemorelaw.com/services/practices/financial-restructuring-bankruptcy-creditors-right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2025-03-28T07:44:08Z</dcterms:created>
  <dcterms:modified xsi:type="dcterms:W3CDTF">2025-03-28T07:44:08Z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