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541248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3668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66895"/>
                          <a:chExt cx="6066790" cy="4366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628139">
                                <a:moveTo>
                                  <a:pt x="6066424" y="1627703"/>
                                </a:moveTo>
                                <a:lnTo>
                                  <a:pt x="0" y="1627703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627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43.85pt;mso-position-horizontal-relative:page;mso-position-vertical-relative:page;z-index:-15775232" id="docshapegroup1" coordorigin="1341,560" coordsize="9554,6877">
                <v:rect style="position:absolute;left:1341;top:4872;width:9554;height:2564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141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Professional </w:t>
      </w:r>
      <w:r>
        <w:rPr>
          <w:color w:val="FFFFFF"/>
          <w:spacing w:val="-2"/>
        </w:rPr>
        <w:t>Liability</w:t>
      </w:r>
    </w:p>
    <w:p>
      <w:pPr>
        <w:pStyle w:val="BodyText"/>
        <w:spacing w:before="99"/>
        <w:rPr>
          <w:b/>
          <w:sz w:val="42"/>
        </w:rPr>
      </w:pPr>
    </w:p>
    <w:p>
      <w:pPr>
        <w:spacing w:line="242" w:lineRule="auto" w:before="0"/>
        <w:ind w:left="646" w:right="649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professional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liability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practice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group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offers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service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and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experience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 all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aspects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professional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liability,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including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conflict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avoidance</w:t>
      </w:r>
      <w:r>
        <w:rPr>
          <w:color w:val="FFFFFF"/>
          <w:spacing w:val="-15"/>
          <w:w w:val="105"/>
          <w:sz w:val="22"/>
        </w:rPr>
        <w:t> </w:t>
      </w:r>
      <w:r>
        <w:rPr>
          <w:color w:val="FFFFFF"/>
          <w:w w:val="105"/>
          <w:sz w:val="22"/>
        </w:rPr>
        <w:t>through counseling, dispute resolution through mediation and arbitration, representation in actual or threatened litigation, and representation in professional licensing and disciplinary proceedings.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"/>
        <w:rPr>
          <w:sz w:val="22"/>
        </w:rPr>
      </w:pPr>
    </w:p>
    <w:p>
      <w:pPr>
        <w:spacing w:line="348" w:lineRule="auto" w:before="0"/>
        <w:ind w:left="1012" w:right="1009" w:firstLine="0"/>
        <w:jc w:val="center"/>
        <w:rPr>
          <w:sz w:val="16"/>
        </w:rPr>
      </w:pPr>
      <w:r>
        <w:rPr>
          <w:color w:val="FFFFFF"/>
          <w:spacing w:val="-2"/>
          <w:sz w:val="16"/>
        </w:rPr>
        <w:t>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areas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civil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practice,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whether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transactional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litigation,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allows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group members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provide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highest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level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representation,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regardless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nature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dispute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 which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attorney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other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professional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involved.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ability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draw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upon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extensive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skills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of </w:t>
      </w:r>
      <w:r>
        <w:rPr>
          <w:color w:val="FFFFFF"/>
          <w:spacing w:val="-4"/>
          <w:sz w:val="16"/>
        </w:rPr>
        <w:t>attorneys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other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practice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areas,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address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distinct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but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related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issues,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provides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major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benefit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 </w:t>
      </w:r>
      <w:r>
        <w:rPr>
          <w:color w:val="FFFFFF"/>
          <w:sz w:val="16"/>
        </w:rPr>
        <w:t>our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clients.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1"/>
        <w:rPr>
          <w:sz w:val="16"/>
        </w:rPr>
      </w:pPr>
    </w:p>
    <w:p>
      <w:pPr>
        <w:spacing w:before="0"/>
        <w:ind w:left="1012" w:right="1014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3"/>
        <w:rPr>
          <w:b/>
          <w:sz w:val="20"/>
        </w:rPr>
      </w:pPr>
    </w:p>
    <w:p>
      <w:pPr>
        <w:spacing w:line="218" w:lineRule="auto" w:before="0"/>
        <w:ind w:left="5499" w:right="2411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-30844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PROFESSIONAL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LIABILITY</w:t>
        </w:r>
      </w:hyperlink>
    </w:p>
    <w:p>
      <w:pPr>
        <w:pStyle w:val="BodyText"/>
        <w:spacing w:before="49"/>
        <w:rPr>
          <w:sz w:val="16"/>
        </w:rPr>
      </w:pPr>
    </w:p>
    <w:p>
      <w:pPr>
        <w:spacing w:line="218" w:lineRule="auto" w:before="0"/>
        <w:ind w:left="5499" w:right="2411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rPr>
          <w:sz w:val="16"/>
        </w:rPr>
      </w:pPr>
    </w:p>
    <w:p>
      <w:pPr>
        <w:spacing w:line="191" w:lineRule="exact" w:before="0"/>
        <w:ind w:left="549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Amy</w:t>
        </w:r>
        <w:r>
          <w:rPr>
            <w:b/>
            <w:spacing w:val="3"/>
            <w:sz w:val="16"/>
          </w:rPr>
          <w:t> </w:t>
        </w:r>
        <w:r>
          <w:rPr>
            <w:b/>
            <w:spacing w:val="-4"/>
            <w:sz w:val="16"/>
          </w:rPr>
          <w:t>Abdo</w:t>
        </w:r>
      </w:hyperlink>
    </w:p>
    <w:p>
      <w:pPr>
        <w:spacing w:line="142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3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602.916.5399</w:t>
      </w:r>
    </w:p>
    <w:p>
      <w:pPr>
        <w:spacing w:before="8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602.916.5599</w:t>
      </w:r>
    </w:p>
    <w:p>
      <w:pPr>
        <w:spacing w:line="266" w:lineRule="auto" w:before="16"/>
        <w:ind w:left="5499" w:right="2411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amy@fennemorelaw.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pStyle w:val="BodyText"/>
        <w:spacing w:before="259"/>
        <w:rPr>
          <w:sz w:val="24"/>
        </w:rPr>
      </w:pPr>
    </w:p>
    <w:p>
      <w:pPr>
        <w:pStyle w:val="Heading1"/>
      </w:pPr>
      <w:r>
        <w:rPr>
          <w:color w:val="FF8100"/>
        </w:rPr>
        <w:t>ABILITY</w:t>
      </w:r>
      <w:r>
        <w:rPr>
          <w:color w:val="FF8100"/>
          <w:spacing w:val="9"/>
        </w:rPr>
        <w:t> </w:t>
      </w:r>
      <w:r>
        <w:rPr>
          <w:color w:val="FF8100"/>
        </w:rPr>
        <w:t>TO</w:t>
      </w:r>
      <w:r>
        <w:rPr>
          <w:color w:val="FF8100"/>
          <w:spacing w:val="10"/>
        </w:rPr>
        <w:t> </w:t>
      </w:r>
      <w:r>
        <w:rPr>
          <w:color w:val="FF8100"/>
        </w:rPr>
        <w:t>ANALYZE</w:t>
      </w:r>
      <w:r>
        <w:rPr>
          <w:color w:val="FF8100"/>
          <w:spacing w:val="10"/>
        </w:rPr>
        <w:t> </w:t>
      </w:r>
      <w:r>
        <w:rPr>
          <w:color w:val="FF8100"/>
        </w:rPr>
        <w:t>INSURANCE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ISSUES</w:t>
      </w:r>
    </w:p>
    <w:p>
      <w:pPr>
        <w:pStyle w:val="BodyText"/>
        <w:spacing w:line="295" w:lineRule="auto" w:before="147"/>
        <w:ind w:left="104" w:right="371"/>
      </w:pPr>
      <w:r>
        <w:rPr>
          <w:color w:val="6E6158"/>
        </w:rPr>
        <w:t>Most professionals are covered by errors and omissions or similar insurance policies. </w:t>
      </w:r>
      <w:r>
        <w:rPr>
          <w:color w:val="6E6158"/>
        </w:rPr>
        <w:t>Depending</w:t>
      </w:r>
      <w:r>
        <w:rPr>
          <w:color w:val="6E6158"/>
          <w:spacing w:val="40"/>
        </w:rPr>
        <w:t> </w:t>
      </w:r>
      <w:r>
        <w:rPr>
          <w:color w:val="6E6158"/>
        </w:rPr>
        <w:t>on the nature of claims alleged, the professional may need guidance on coverage issues, the</w:t>
      </w:r>
      <w:r>
        <w:rPr>
          <w:color w:val="6E6158"/>
          <w:spacing w:val="40"/>
        </w:rPr>
        <w:t> </w:t>
      </w:r>
      <w:r>
        <w:rPr>
          <w:color w:val="6E6158"/>
        </w:rPr>
        <w:t>insurer’s duties to defend and indemnify, and how to deal with coverage problems that arise.</w:t>
      </w:r>
      <w:r>
        <w:rPr>
          <w:color w:val="6E6158"/>
          <w:spacing w:val="40"/>
        </w:rPr>
        <w:t> </w:t>
      </w:r>
      <w:r>
        <w:rPr>
          <w:color w:val="6E6158"/>
        </w:rPr>
        <w:t>Our attorneys analyze insurance coverage issues and counsel both clients and insurers in</w:t>
      </w:r>
      <w:r>
        <w:rPr>
          <w:color w:val="6E6158"/>
          <w:spacing w:val="40"/>
        </w:rPr>
        <w:t> </w:t>
      </w:r>
      <w:r>
        <w:rPr>
          <w:color w:val="6E6158"/>
        </w:rPr>
        <w:t>professional liability cases.</w:t>
      </w:r>
    </w:p>
    <w:p>
      <w:pPr>
        <w:pStyle w:val="Heading1"/>
        <w:spacing w:before="169"/>
      </w:pPr>
      <w:r>
        <w:rPr>
          <w:color w:val="FF8100"/>
        </w:rPr>
        <w:t>ACCOUNTING</w:t>
      </w:r>
      <w:r>
        <w:rPr>
          <w:color w:val="FF8100"/>
          <w:spacing w:val="17"/>
        </w:rPr>
        <w:t> </w:t>
      </w:r>
      <w:r>
        <w:rPr>
          <w:color w:val="FF8100"/>
          <w:spacing w:val="-2"/>
        </w:rPr>
        <w:t>MALPRACTICE</w:t>
      </w:r>
    </w:p>
    <w:p>
      <w:pPr>
        <w:pStyle w:val="BodyText"/>
        <w:spacing w:line="292" w:lineRule="auto" w:before="146"/>
        <w:ind w:left="104" w:right="371"/>
      </w:pPr>
      <w:r>
        <w:rPr>
          <w:color w:val="6E6158"/>
        </w:rPr>
        <w:t>Our attorneys have experience in representing accountants in disciplinary actions and </w:t>
      </w:r>
      <w:r>
        <w:rPr>
          <w:color w:val="6E6158"/>
        </w:rPr>
        <w:t>lawsuits</w:t>
      </w:r>
      <w:r>
        <w:rPr>
          <w:color w:val="6E6158"/>
          <w:spacing w:val="40"/>
        </w:rPr>
        <w:t> </w:t>
      </w:r>
      <w:r>
        <w:rPr>
          <w:color w:val="6E6158"/>
        </w:rPr>
        <w:t>arising</w:t>
      </w:r>
      <w:r>
        <w:rPr>
          <w:color w:val="6E6158"/>
          <w:spacing w:val="27"/>
        </w:rPr>
        <w:t> </w:t>
      </w:r>
      <w:r>
        <w:rPr>
          <w:color w:val="6E6158"/>
        </w:rPr>
        <w:t>out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advice,</w:t>
      </w:r>
      <w:r>
        <w:rPr>
          <w:color w:val="6E6158"/>
          <w:spacing w:val="27"/>
        </w:rPr>
        <w:t> </w:t>
      </w:r>
      <w:r>
        <w:rPr>
          <w:color w:val="6E6158"/>
        </w:rPr>
        <w:t>audits,</w:t>
      </w:r>
      <w:r>
        <w:rPr>
          <w:color w:val="6E6158"/>
          <w:spacing w:val="27"/>
        </w:rPr>
        <w:t> </w:t>
      </w:r>
      <w:r>
        <w:rPr>
          <w:color w:val="6E6158"/>
        </w:rPr>
        <w:t>tax</w:t>
      </w:r>
      <w:r>
        <w:rPr>
          <w:color w:val="6E6158"/>
          <w:spacing w:val="27"/>
        </w:rPr>
        <w:t> </w:t>
      </w:r>
      <w:r>
        <w:rPr>
          <w:color w:val="6E6158"/>
        </w:rPr>
        <w:t>return</w:t>
      </w:r>
      <w:r>
        <w:rPr>
          <w:color w:val="6E6158"/>
          <w:spacing w:val="27"/>
        </w:rPr>
        <w:t> </w:t>
      </w:r>
      <w:r>
        <w:rPr>
          <w:color w:val="6E6158"/>
        </w:rPr>
        <w:t>preparation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other</w:t>
      </w:r>
      <w:r>
        <w:rPr>
          <w:color w:val="6E6158"/>
          <w:spacing w:val="27"/>
        </w:rPr>
        <w:t> </w:t>
      </w:r>
      <w:r>
        <w:rPr>
          <w:color w:val="6E6158"/>
        </w:rPr>
        <w:t>areas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accounting</w:t>
      </w:r>
    </w:p>
    <w:p>
      <w:pPr>
        <w:pStyle w:val="BodyText"/>
        <w:spacing w:line="302" w:lineRule="auto" w:before="1"/>
        <w:ind w:left="104" w:right="371"/>
      </w:pPr>
      <w:r>
        <w:rPr>
          <w:color w:val="6E6158"/>
        </w:rPr>
        <w:t>practice. Our tax practice section, which handles all facets of state and federal </w:t>
      </w:r>
      <w:r>
        <w:rPr>
          <w:color w:val="6E6158"/>
        </w:rPr>
        <w:t>taxation, provides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valuable</w:t>
      </w:r>
      <w:r>
        <w:rPr>
          <w:color w:val="6E6158"/>
          <w:spacing w:val="31"/>
        </w:rPr>
        <w:t> </w:t>
      </w:r>
      <w:r>
        <w:rPr>
          <w:color w:val="6E6158"/>
        </w:rPr>
        <w:t>resource</w:t>
      </w:r>
      <w:r>
        <w:rPr>
          <w:color w:val="6E6158"/>
          <w:spacing w:val="31"/>
        </w:rPr>
        <w:t> </w:t>
      </w:r>
      <w:r>
        <w:rPr>
          <w:color w:val="6E6158"/>
        </w:rPr>
        <w:t>when</w:t>
      </w:r>
      <w:r>
        <w:rPr>
          <w:color w:val="6E6158"/>
          <w:spacing w:val="31"/>
        </w:rPr>
        <w:t> </w:t>
      </w:r>
      <w:r>
        <w:rPr>
          <w:color w:val="6E6158"/>
        </w:rPr>
        <w:t>advising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or</w:t>
      </w:r>
      <w:r>
        <w:rPr>
          <w:color w:val="6E6158"/>
          <w:spacing w:val="31"/>
        </w:rPr>
        <w:t> </w:t>
      </w:r>
      <w:r>
        <w:rPr>
          <w:color w:val="6E6158"/>
        </w:rPr>
        <w:t>litigating</w:t>
      </w:r>
      <w:r>
        <w:rPr>
          <w:color w:val="6E6158"/>
          <w:spacing w:val="31"/>
        </w:rPr>
        <w:t> </w:t>
      </w:r>
      <w:r>
        <w:rPr>
          <w:color w:val="6E6158"/>
        </w:rPr>
        <w:t>complex</w:t>
      </w:r>
      <w:r>
        <w:rPr>
          <w:color w:val="6E6158"/>
          <w:spacing w:val="31"/>
        </w:rPr>
        <w:t> </w:t>
      </w:r>
      <w:r>
        <w:rPr>
          <w:color w:val="6E6158"/>
        </w:rPr>
        <w:t>tax</w:t>
      </w:r>
      <w:r>
        <w:rPr>
          <w:color w:val="6E6158"/>
          <w:spacing w:val="31"/>
        </w:rPr>
        <w:t> </w:t>
      </w:r>
      <w:r>
        <w:rPr>
          <w:color w:val="6E6158"/>
        </w:rPr>
        <w:t>cases.</w:t>
      </w:r>
      <w:r>
        <w:rPr>
          <w:color w:val="6E6158"/>
          <w:spacing w:val="31"/>
        </w:rPr>
        <w:t> </w:t>
      </w:r>
      <w:r>
        <w:rPr>
          <w:color w:val="6E6158"/>
        </w:rPr>
        <w:t>Our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104" w:right="371"/>
      </w:pPr>
      <w:r>
        <w:rPr>
          <w:color w:val="6E6158"/>
        </w:rPr>
        <w:t>relationships with local, regional and national accounting firms also provides an </w:t>
      </w:r>
      <w:r>
        <w:rPr>
          <w:color w:val="6E6158"/>
        </w:rPr>
        <w:t>invaluable</w:t>
      </w:r>
      <w:r>
        <w:rPr>
          <w:color w:val="6E6158"/>
          <w:spacing w:val="40"/>
        </w:rPr>
        <w:t> </w:t>
      </w:r>
      <w:r>
        <w:rPr>
          <w:color w:val="6E6158"/>
        </w:rPr>
        <w:t>resource for locating expert witnesses when they are needed.</w:t>
      </w:r>
    </w:p>
    <w:p>
      <w:pPr>
        <w:pStyle w:val="Heading1"/>
        <w:spacing w:before="171"/>
      </w:pPr>
      <w:r>
        <w:rPr>
          <w:color w:val="FF8100"/>
        </w:rPr>
        <w:t>LEGAL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MALPRACTICE</w:t>
      </w:r>
    </w:p>
    <w:p>
      <w:pPr>
        <w:pStyle w:val="BodyText"/>
        <w:spacing w:line="295" w:lineRule="auto" w:before="147"/>
        <w:ind w:left="104" w:right="119"/>
      </w:pPr>
      <w:r>
        <w:rPr>
          <w:color w:val="6E6158"/>
        </w:rPr>
        <w:t>We offer general loss prevention advice and counsel clients in the avoidance of specific legal</w:t>
      </w:r>
      <w:r>
        <w:rPr>
          <w:color w:val="6E6158"/>
          <w:spacing w:val="40"/>
        </w:rPr>
        <w:t> </w:t>
      </w:r>
      <w:r>
        <w:rPr>
          <w:color w:val="6E6158"/>
        </w:rPr>
        <w:t>malpractice claims when issues arise presenting that possibility. Through counseling, we have</w:t>
      </w:r>
      <w:r>
        <w:rPr>
          <w:color w:val="6E6158"/>
          <w:spacing w:val="40"/>
        </w:rPr>
        <w:t> </w:t>
      </w:r>
      <w:r>
        <w:rPr>
          <w:color w:val="6E6158"/>
        </w:rPr>
        <w:t>helped many attorneys defuse troublesome situations and avoid the problems that can result.</w:t>
      </w:r>
      <w:r>
        <w:rPr>
          <w:color w:val="6E6158"/>
          <w:spacing w:val="40"/>
        </w:rPr>
        <w:t> </w:t>
      </w:r>
      <w:r>
        <w:rPr>
          <w:color w:val="6E6158"/>
        </w:rPr>
        <w:t>When disputes do progress to litigation, our attorneys have extensive experience representing</w:t>
      </w:r>
      <w:r>
        <w:rPr>
          <w:color w:val="6E6158"/>
          <w:spacing w:val="40"/>
        </w:rPr>
        <w:t> </w:t>
      </w:r>
      <w:r>
        <w:rPr>
          <w:color w:val="6E6158"/>
        </w:rPr>
        <w:t>clients in arbitration, mediation, and state and federal court litigation. Few other firms match our</w:t>
      </w:r>
      <w:r>
        <w:rPr>
          <w:color w:val="6E6158"/>
          <w:spacing w:val="40"/>
        </w:rPr>
        <w:t> </w:t>
      </w:r>
      <w:r>
        <w:rPr>
          <w:color w:val="6E6158"/>
        </w:rPr>
        <w:t>level of trial experience in this area.</w:t>
      </w:r>
    </w:p>
    <w:p>
      <w:pPr>
        <w:pStyle w:val="Heading1"/>
        <w:spacing w:before="159"/>
      </w:pPr>
      <w:r>
        <w:rPr>
          <w:color w:val="FF8100"/>
        </w:rPr>
        <w:t>OTHER</w:t>
      </w:r>
      <w:r>
        <w:rPr>
          <w:color w:val="FF8100"/>
          <w:spacing w:val="9"/>
        </w:rPr>
        <w:t> </w:t>
      </w:r>
      <w:r>
        <w:rPr>
          <w:color w:val="FF8100"/>
        </w:rPr>
        <w:t>TYPES</w:t>
      </w:r>
      <w:r>
        <w:rPr>
          <w:color w:val="FF8100"/>
          <w:spacing w:val="9"/>
        </w:rPr>
        <w:t> </w:t>
      </w:r>
      <w:r>
        <w:rPr>
          <w:color w:val="FF8100"/>
        </w:rPr>
        <w:t>OF</w:t>
      </w:r>
      <w:r>
        <w:rPr>
          <w:color w:val="FF8100"/>
          <w:spacing w:val="10"/>
        </w:rPr>
        <w:t> </w:t>
      </w:r>
      <w:r>
        <w:rPr>
          <w:color w:val="FF8100"/>
        </w:rPr>
        <w:t>PROFESSIONAL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LIABILITY</w:t>
      </w:r>
    </w:p>
    <w:p>
      <w:pPr>
        <w:pStyle w:val="BodyText"/>
        <w:spacing w:line="297" w:lineRule="auto" w:before="146"/>
        <w:ind w:left="104" w:right="171"/>
      </w:pP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addition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legal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accounting</w:t>
      </w:r>
      <w:r>
        <w:rPr>
          <w:color w:val="6E6158"/>
          <w:spacing w:val="35"/>
        </w:rPr>
        <w:t> </w:t>
      </w:r>
      <w:r>
        <w:rPr>
          <w:color w:val="6E6158"/>
        </w:rPr>
        <w:t>malpractice,</w:t>
      </w:r>
      <w:r>
        <w:rPr>
          <w:color w:val="6E6158"/>
          <w:spacing w:val="35"/>
        </w:rPr>
        <w:t> </w:t>
      </w:r>
      <w:r>
        <w:rPr>
          <w:color w:val="6E6158"/>
        </w:rPr>
        <w:t>our</w:t>
      </w:r>
      <w:r>
        <w:rPr>
          <w:color w:val="6E6158"/>
          <w:spacing w:val="35"/>
        </w:rPr>
        <w:t> </w:t>
      </w:r>
      <w:r>
        <w:rPr>
          <w:color w:val="6E6158"/>
        </w:rPr>
        <w:t>attorneys</w:t>
      </w:r>
      <w:r>
        <w:rPr>
          <w:color w:val="6E6158"/>
          <w:spacing w:val="35"/>
        </w:rPr>
        <w:t> </w:t>
      </w:r>
      <w:r>
        <w:rPr>
          <w:color w:val="6E6158"/>
        </w:rPr>
        <w:t>represent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professionals, from engineers, to architects, to environmental consultants. Our experience allows us to provide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highest</w:t>
      </w:r>
      <w:r>
        <w:rPr>
          <w:color w:val="6E6158"/>
          <w:spacing w:val="25"/>
        </w:rPr>
        <w:t> </w:t>
      </w:r>
      <w:r>
        <w:rPr>
          <w:color w:val="6E6158"/>
        </w:rPr>
        <w:t>level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representation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any</w:t>
      </w:r>
      <w:r>
        <w:rPr>
          <w:color w:val="6E6158"/>
          <w:spacing w:val="25"/>
        </w:rPr>
        <w:t> </w:t>
      </w:r>
      <w:r>
        <w:rPr>
          <w:color w:val="6E6158"/>
        </w:rPr>
        <w:t>type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professional</w:t>
      </w:r>
      <w:r>
        <w:rPr>
          <w:color w:val="6E6158"/>
          <w:spacing w:val="25"/>
        </w:rPr>
        <w:t> </w:t>
      </w:r>
      <w:r>
        <w:rPr>
          <w:color w:val="6E6158"/>
        </w:rPr>
        <w:t>faced</w:t>
      </w:r>
      <w:r>
        <w:rPr>
          <w:color w:val="6E6158"/>
          <w:spacing w:val="25"/>
        </w:rPr>
        <w:t> </w:t>
      </w:r>
      <w:r>
        <w:rPr>
          <w:color w:val="6E6158"/>
        </w:rPr>
        <w:t>with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problem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</w:p>
    <w:p>
      <w:pPr>
        <w:pStyle w:val="BodyText"/>
        <w:spacing w:line="229" w:lineRule="exact"/>
        <w:ind w:left="104"/>
      </w:pPr>
      <w:r>
        <w:rPr>
          <w:color w:val="6E6158"/>
          <w:spacing w:val="-2"/>
        </w:rPr>
        <w:t>lawsuit.</w:t>
      </w:r>
    </w:p>
    <w:p>
      <w:pPr>
        <w:pStyle w:val="Heading1"/>
        <w:spacing w:before="213"/>
      </w:pPr>
      <w:r>
        <w:rPr>
          <w:color w:val="FF8100"/>
        </w:rPr>
        <w:t>REPRESENTATION</w:t>
      </w:r>
      <w:r>
        <w:rPr>
          <w:color w:val="FF8100"/>
          <w:spacing w:val="9"/>
        </w:rPr>
        <w:t> </w:t>
      </w:r>
      <w:r>
        <w:rPr>
          <w:color w:val="FF8100"/>
        </w:rPr>
        <w:t>IN</w:t>
      </w:r>
      <w:r>
        <w:rPr>
          <w:color w:val="FF8100"/>
          <w:spacing w:val="9"/>
        </w:rPr>
        <w:t> </w:t>
      </w:r>
      <w:r>
        <w:rPr>
          <w:color w:val="FF8100"/>
        </w:rPr>
        <w:t>STATE</w:t>
      </w:r>
      <w:r>
        <w:rPr>
          <w:color w:val="FF8100"/>
          <w:spacing w:val="9"/>
        </w:rPr>
        <w:t> </w:t>
      </w:r>
      <w:r>
        <w:rPr>
          <w:color w:val="FF8100"/>
        </w:rPr>
        <w:t>BAR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PROCEEDINGS</w:t>
      </w:r>
    </w:p>
    <w:p>
      <w:pPr>
        <w:pStyle w:val="BodyText"/>
        <w:spacing w:line="295" w:lineRule="auto" w:before="147"/>
        <w:ind w:left="104"/>
      </w:pPr>
      <w:r>
        <w:rPr>
          <w:color w:val="6E6158"/>
        </w:rPr>
        <w:t>Our practice group includes former </w:t>
      </w:r>
      <w:hyperlink r:id="rId14">
        <w:r>
          <w:rPr>
            <w:color w:val="F5821F"/>
          </w:rPr>
          <w:t>State Bar of Arizona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5">
        <w:r>
          <w:rPr>
            <w:color w:val="F5821F"/>
          </w:rPr>
          <w:t>Maricopa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6">
        <w:r>
          <w:rPr>
            <w:color w:val="F5821F"/>
          </w:rPr>
          <w:t>Pima County Bar</w:t>
        </w:r>
      </w:hyperlink>
      <w:r>
        <w:rPr>
          <w:color w:val="F5821F"/>
          <w:spacing w:val="40"/>
        </w:rPr>
        <w:t> </w:t>
      </w:r>
      <w:r>
        <w:rPr>
          <w:color w:val="6E6158"/>
        </w:rPr>
        <w:t>presidents and attorneys who have served on the State Bar’s discipline and professional conduct</w:t>
      </w:r>
      <w:r>
        <w:rPr>
          <w:color w:val="6E6158"/>
          <w:spacing w:val="40"/>
        </w:rPr>
        <w:t> </w:t>
      </w:r>
      <w:r>
        <w:rPr>
          <w:color w:val="6E6158"/>
        </w:rPr>
        <w:t>committees. We have represented attorneys and judges, as well as the State Bar of Arizona, in all</w:t>
      </w:r>
      <w:r>
        <w:rPr>
          <w:color w:val="6E6158"/>
          <w:spacing w:val="40"/>
        </w:rPr>
        <w:t> </w:t>
      </w:r>
      <w:r>
        <w:rPr>
          <w:color w:val="6E6158"/>
        </w:rPr>
        <w:t>aspects</w:t>
      </w:r>
      <w:r>
        <w:rPr>
          <w:color w:val="6E6158"/>
          <w:spacing w:val="35"/>
        </w:rPr>
        <w:t> </w:t>
      </w:r>
      <w:r>
        <w:rPr>
          <w:color w:val="6E6158"/>
        </w:rPr>
        <w:t>of</w:t>
      </w:r>
      <w:r>
        <w:rPr>
          <w:color w:val="6E6158"/>
          <w:spacing w:val="35"/>
        </w:rPr>
        <w:t> </w:t>
      </w:r>
      <w:r>
        <w:rPr>
          <w:color w:val="6E6158"/>
        </w:rPr>
        <w:t>disciplinary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that</w:t>
      </w:r>
      <w:r>
        <w:rPr>
          <w:color w:val="6E6158"/>
          <w:spacing w:val="35"/>
        </w:rPr>
        <w:t> </w:t>
      </w:r>
      <w:r>
        <w:rPr>
          <w:color w:val="6E6158"/>
        </w:rPr>
        <w:t>often</w:t>
      </w:r>
      <w:r>
        <w:rPr>
          <w:color w:val="6E6158"/>
          <w:spacing w:val="35"/>
        </w:rPr>
        <w:t> </w:t>
      </w:r>
      <w:r>
        <w:rPr>
          <w:color w:val="6E6158"/>
        </w:rPr>
        <w:t>accompany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precede</w:t>
      </w:r>
      <w:r>
        <w:rPr>
          <w:color w:val="6E6158"/>
          <w:spacing w:val="35"/>
        </w:rPr>
        <w:t> </w:t>
      </w:r>
      <w:r>
        <w:rPr>
          <w:color w:val="6E6158"/>
        </w:rPr>
        <w:t>legal</w:t>
      </w:r>
      <w:r>
        <w:rPr>
          <w:color w:val="6E6158"/>
          <w:spacing w:val="35"/>
        </w:rPr>
        <w:t> </w:t>
      </w:r>
      <w:r>
        <w:rPr>
          <w:color w:val="6E6158"/>
        </w:rPr>
        <w:t>malpractice</w:t>
      </w:r>
      <w:r>
        <w:rPr>
          <w:color w:val="6E6158"/>
          <w:spacing w:val="35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2" w:lineRule="auto" w:before="9"/>
        <w:ind w:left="104" w:right="371"/>
      </w:pPr>
      <w:r>
        <w:rPr>
          <w:color w:val="6E6158"/>
        </w:rPr>
        <w:t>Our ability to represent attorneys in legal malpractice litigation, State Bar proceedings,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ethics counseling has proven to be exceptionally valuable assets.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12" w:right="1014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professional-liability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amy-abdo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amy@fennemorelaw.com" TargetMode="External"/><Relationship Id="rId14" Type="http://schemas.openxmlformats.org/officeDocument/2006/relationships/hyperlink" Target="https://www.azbar.org/" TargetMode="External"/><Relationship Id="rId15" Type="http://schemas.openxmlformats.org/officeDocument/2006/relationships/hyperlink" Target="https://maricopabar.org/" TargetMode="External"/><Relationship Id="rId16" Type="http://schemas.openxmlformats.org/officeDocument/2006/relationships/hyperlink" Target="http://www.pimacountyba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2025-03-28T07:43:41Z</dcterms:created>
  <dcterms:modified xsi:type="dcterms:W3CDTF">2025-03-28T07:43:41Z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