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362" w:right="0" w:firstLine="344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ROGER HEYWOOD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rheywood@fennemorelaw.com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362" w:right="0" w:firstLine="344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ROGER HEYWOOD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rheywood@fennemorelaw.com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ROGER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HEYWOOD</w:t>
      </w:r>
    </w:p>
    <w:p>
      <w:pPr>
        <w:pStyle w:val="BodyText"/>
        <w:spacing w:line="295" w:lineRule="auto" w:before="147"/>
        <w:ind w:left="104" w:right="527"/>
      </w:pPr>
      <w:r>
        <w:rPr>
          <w:color w:val="6E6158"/>
        </w:rPr>
        <w:t>Roger Heywood is of counsel in Fennemore’s </w:t>
      </w:r>
      <w:hyperlink r:id="rId8">
        <w:r>
          <w:rPr>
            <w:color w:val="F5821F"/>
          </w:rPr>
          <w:t>Trusts &amp; Estates</w:t>
        </w:r>
      </w:hyperlink>
      <w:r>
        <w:rPr>
          <w:color w:val="F5821F"/>
        </w:rPr>
        <w:t> </w:t>
      </w:r>
      <w:r>
        <w:rPr>
          <w:color w:val="6E6158"/>
        </w:rPr>
        <w:t>practice group. He is an accomplished attorney with over 40 years of experience in tax law, business transactions, real</w:t>
      </w:r>
      <w:r>
        <w:rPr>
          <w:color w:val="6E6158"/>
          <w:spacing w:val="40"/>
        </w:rPr>
        <w:t> </w:t>
      </w:r>
      <w:r>
        <w:rPr>
          <w:color w:val="6E6158"/>
        </w:rPr>
        <w:t>estate development, and estate planning. He is recognized for a strong track record of building</w:t>
      </w:r>
      <w:r>
        <w:rPr>
          <w:color w:val="6E6158"/>
          <w:spacing w:val="40"/>
        </w:rPr>
        <w:t> </w:t>
      </w:r>
      <w:r>
        <w:rPr>
          <w:color w:val="6E6158"/>
        </w:rPr>
        <w:t>lasting</w:t>
      </w:r>
      <w:r>
        <w:rPr>
          <w:color w:val="6E6158"/>
          <w:spacing w:val="39"/>
        </w:rPr>
        <w:t> </w:t>
      </w:r>
      <w:r>
        <w:rPr>
          <w:color w:val="6E6158"/>
        </w:rPr>
        <w:t>client</w:t>
      </w:r>
      <w:r>
        <w:rPr>
          <w:color w:val="6E6158"/>
          <w:spacing w:val="39"/>
        </w:rPr>
        <w:t> </w:t>
      </w:r>
      <w:r>
        <w:rPr>
          <w:color w:val="6E6158"/>
        </w:rPr>
        <w:t>relationships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delivering</w:t>
      </w:r>
      <w:r>
        <w:rPr>
          <w:color w:val="6E6158"/>
          <w:spacing w:val="39"/>
        </w:rPr>
        <w:t> </w:t>
      </w:r>
      <w:r>
        <w:rPr>
          <w:color w:val="6E6158"/>
        </w:rPr>
        <w:t>practical,</w:t>
      </w:r>
      <w:r>
        <w:rPr>
          <w:color w:val="6E6158"/>
          <w:spacing w:val="39"/>
        </w:rPr>
        <w:t> </w:t>
      </w:r>
      <w:r>
        <w:rPr>
          <w:color w:val="6E6158"/>
        </w:rPr>
        <w:t>tax-efficient</w:t>
      </w:r>
      <w:r>
        <w:rPr>
          <w:color w:val="6E6158"/>
          <w:spacing w:val="39"/>
        </w:rPr>
        <w:t> </w:t>
      </w:r>
      <w:r>
        <w:rPr>
          <w:color w:val="6E6158"/>
        </w:rPr>
        <w:t>strategies</w:t>
      </w:r>
      <w:r>
        <w:rPr>
          <w:color w:val="6E6158"/>
          <w:spacing w:val="39"/>
        </w:rPr>
        <w:t> </w:t>
      </w:r>
      <w:r>
        <w:rPr>
          <w:color w:val="6E6158"/>
        </w:rPr>
        <w:t>for</w:t>
      </w:r>
      <w:r>
        <w:rPr>
          <w:color w:val="6E6158"/>
          <w:spacing w:val="39"/>
        </w:rPr>
        <w:t> </w:t>
      </w:r>
      <w:r>
        <w:rPr>
          <w:color w:val="6E6158"/>
        </w:rPr>
        <w:t>business</w:t>
      </w:r>
      <w:r>
        <w:rPr>
          <w:color w:val="6E6158"/>
          <w:spacing w:val="39"/>
        </w:rPr>
        <w:t> </w:t>
      </w:r>
      <w:r>
        <w:rPr>
          <w:color w:val="6E6158"/>
        </w:rPr>
        <w:t>owners and high-net-worth individuals.</w:t>
      </w:r>
    </w:p>
    <w:p>
      <w:pPr>
        <w:pStyle w:val="BodyText"/>
        <w:spacing w:line="292" w:lineRule="auto" w:before="203"/>
        <w:ind w:left="104" w:right="527"/>
      </w:pPr>
      <w:r>
        <w:rPr>
          <w:color w:val="6E6158"/>
        </w:rPr>
        <w:t>Roger is recognized for providing comprehensive solutions for complex business and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matters. His extensive experience includes:</w:t>
      </w:r>
    </w:p>
    <w:p>
      <w:pPr>
        <w:spacing w:line="292" w:lineRule="auto" w:before="196"/>
        <w:ind w:left="356" w:right="52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370326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159544pt;width:1.65pt;height:1.65pt;mso-position-horizontal-relative:page;mso-position-vertical-relative:paragraph;z-index:15729152" id="docshape7" coordorigin="1675,583" coordsize="33,33" path="m1696,616l1687,616,1683,614,1676,608,1675,604,1675,595,1676,591,1683,585,1687,583,1696,583,1699,585,1706,591,1707,595,1707,599,1707,604,1706,608,1699,614,1696,6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Corporate Structuring &amp; Business Planning: </w:t>
      </w:r>
      <w:r>
        <w:rPr>
          <w:color w:val="6E6158"/>
          <w:sz w:val="19"/>
        </w:rPr>
        <w:t>Entity structure, organization and </w:t>
      </w:r>
      <w:r>
        <w:rPr>
          <w:color w:val="6E6158"/>
          <w:sz w:val="19"/>
        </w:rPr>
        <w:t>maintenance,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acquisitions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sales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businesses,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succession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planning,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shareholder</w:t>
      </w:r>
      <w:r>
        <w:rPr>
          <w:color w:val="6E6158"/>
          <w:spacing w:val="40"/>
          <w:sz w:val="19"/>
        </w:rPr>
        <w:t> </w:t>
      </w:r>
      <w:r>
        <w:rPr>
          <w:color w:val="6E6158"/>
          <w:sz w:val="19"/>
        </w:rPr>
        <w:t>agreements,</w:t>
      </w:r>
    </w:p>
    <w:p>
      <w:pPr>
        <w:pStyle w:val="BodyText"/>
        <w:spacing w:before="10"/>
      </w:pPr>
      <w:r>
        <w:rPr>
          <w:color w:val="6E6158"/>
        </w:rPr>
        <w:t>redemptions,</w:t>
      </w:r>
      <w:r>
        <w:rPr>
          <w:color w:val="6E6158"/>
          <w:spacing w:val="18"/>
        </w:rPr>
        <w:t> </w:t>
      </w:r>
      <w:r>
        <w:rPr>
          <w:color w:val="6E6158"/>
        </w:rPr>
        <w:t>divisive</w:t>
      </w:r>
      <w:r>
        <w:rPr>
          <w:color w:val="6E6158"/>
          <w:spacing w:val="19"/>
        </w:rPr>
        <w:t> </w:t>
      </w:r>
      <w:r>
        <w:rPr>
          <w:color w:val="6E6158"/>
        </w:rPr>
        <w:t>reorganizations,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dissolutions.</w:t>
      </w:r>
    </w:p>
    <w:p>
      <w:pPr>
        <w:pStyle w:val="BodyText"/>
        <w:spacing w:line="292" w:lineRule="auto" w:before="174"/>
        <w:ind w:right="7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443740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940205pt;width:1.65pt;height:1.65pt;mso-position-horizontal-relative:page;mso-position-vertical-relative:paragraph;z-index:15729664" id="docshape8" coordorigin="1675,699" coordsize="33,33" path="m1696,731l1687,731,1683,730,1676,723,1675,720,1675,711,1676,707,1683,700,1687,699,1696,699,1699,700,1706,707,1707,711,1707,715,1707,720,1706,723,1699,730,1696,7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Tax &amp; Estate Planning: </w:t>
      </w:r>
      <w:r>
        <w:rPr>
          <w:color w:val="6E6158"/>
        </w:rPr>
        <w:t>Income, estate, and gift tax planning, including 1031 exchanges,</w:t>
      </w:r>
      <w:r>
        <w:rPr>
          <w:color w:val="6E6158"/>
          <w:spacing w:val="40"/>
        </w:rPr>
        <w:t> </w:t>
      </w:r>
      <w:r>
        <w:rPr>
          <w:color w:val="6E6158"/>
        </w:rPr>
        <w:t>choice</w:t>
      </w:r>
      <w:r>
        <w:rPr>
          <w:color w:val="6E6158"/>
          <w:spacing w:val="21"/>
        </w:rPr>
        <w:t> </w:t>
      </w:r>
      <w:r>
        <w:rPr>
          <w:color w:val="6E6158"/>
        </w:rPr>
        <w:t>of</w:t>
      </w:r>
      <w:r>
        <w:rPr>
          <w:color w:val="6E6158"/>
          <w:spacing w:val="21"/>
        </w:rPr>
        <w:t> </w:t>
      </w:r>
      <w:r>
        <w:rPr>
          <w:color w:val="6E6158"/>
        </w:rPr>
        <w:t>entity,</w:t>
      </w:r>
      <w:r>
        <w:rPr>
          <w:color w:val="6E6158"/>
          <w:spacing w:val="21"/>
        </w:rPr>
        <w:t> </w:t>
      </w:r>
      <w:r>
        <w:rPr>
          <w:color w:val="6E6158"/>
        </w:rPr>
        <w:t>related</w:t>
      </w:r>
      <w:r>
        <w:rPr>
          <w:color w:val="6E6158"/>
          <w:spacing w:val="21"/>
        </w:rPr>
        <w:t> </w:t>
      </w:r>
      <w:r>
        <w:rPr>
          <w:color w:val="6E6158"/>
        </w:rPr>
        <w:t>party</w:t>
      </w:r>
      <w:r>
        <w:rPr>
          <w:color w:val="6E6158"/>
          <w:spacing w:val="21"/>
        </w:rPr>
        <w:t> </w:t>
      </w:r>
      <w:r>
        <w:rPr>
          <w:color w:val="6E6158"/>
        </w:rPr>
        <w:t>transactions,</w:t>
      </w:r>
      <w:r>
        <w:rPr>
          <w:color w:val="6E6158"/>
          <w:spacing w:val="21"/>
        </w:rPr>
        <w:t> </w:t>
      </w:r>
      <w:r>
        <w:rPr>
          <w:color w:val="6E6158"/>
        </w:rPr>
        <w:t>tax-efficient</w:t>
      </w:r>
      <w:r>
        <w:rPr>
          <w:color w:val="6E6158"/>
          <w:spacing w:val="21"/>
        </w:rPr>
        <w:t> </w:t>
      </w:r>
      <w:r>
        <w:rPr>
          <w:color w:val="6E6158"/>
        </w:rPr>
        <w:t>charitable</w:t>
      </w:r>
      <w:r>
        <w:rPr>
          <w:color w:val="6E6158"/>
          <w:spacing w:val="21"/>
        </w:rPr>
        <w:t> </w:t>
      </w:r>
      <w:r>
        <w:rPr>
          <w:color w:val="6E6158"/>
        </w:rPr>
        <w:t>donations,</w:t>
      </w:r>
      <w:r>
        <w:rPr>
          <w:color w:val="6E6158"/>
          <w:spacing w:val="21"/>
        </w:rPr>
        <w:t> </w:t>
      </w:r>
      <w:r>
        <w:rPr>
          <w:color w:val="6E6158"/>
        </w:rPr>
        <w:t>installment</w:t>
      </w:r>
    </w:p>
    <w:p>
      <w:pPr>
        <w:pStyle w:val="BodyText"/>
        <w:spacing w:line="302" w:lineRule="auto" w:before="1"/>
        <w:ind w:right="527"/>
      </w:pPr>
      <w:r>
        <w:rPr>
          <w:color w:val="6E6158"/>
        </w:rPr>
        <w:t>sales, family loans, irrevocable trusts, planning for the disposition of estate, and post-</w:t>
      </w:r>
      <w:r>
        <w:rPr>
          <w:color w:val="6E6158"/>
        </w:rPr>
        <w:t>mortem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planning.</w:t>
      </w:r>
    </w:p>
    <w:p>
      <w:pPr>
        <w:pStyle w:val="BodyText"/>
        <w:spacing w:line="292" w:lineRule="auto" w:before="113"/>
        <w:ind w:right="7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224148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9481pt;width:1.65pt;height:1.65pt;mso-position-horizontal-relative:page;mso-position-vertical-relative:paragraph;z-index:15730176" id="docshape9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Wills, Trusts, &amp; Tax Planning: </w:t>
      </w:r>
      <w:r>
        <w:rPr>
          <w:color w:val="6E6158"/>
        </w:rPr>
        <w:t>Drafting wills, trusts, and related documents, and advising on</w:t>
      </w:r>
      <w:r>
        <w:rPr>
          <w:color w:val="6E6158"/>
          <w:spacing w:val="40"/>
        </w:rPr>
        <w:t> </w:t>
      </w:r>
      <w:r>
        <w:rPr>
          <w:color w:val="6E6158"/>
        </w:rPr>
        <w:t>family agreements, succession, and wealth transfer strategies.</w:t>
      </w:r>
    </w:p>
    <w:p>
      <w:pPr>
        <w:pStyle w:val="BodyText"/>
        <w:spacing w:line="292" w:lineRule="auto" w:before="131"/>
        <w:ind w:right="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509710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0.134693pt;width:1.65pt;height:1.65pt;mso-position-horizontal-relative:page;mso-position-vertical-relative:paragraph;z-index:15730688" id="docshape10" coordorigin="1675,803" coordsize="33,33" path="m1696,835l1687,835,1683,834,1676,827,1675,823,1675,814,1676,811,1683,804,1687,803,1696,803,1699,804,1706,811,1707,814,1707,819,1707,823,1706,827,1699,834,1696,8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</w:rPr>
        <w:t>Real Estate Development &amp; Tax Planning: </w:t>
      </w:r>
      <w:r>
        <w:rPr>
          <w:color w:val="6E6158"/>
        </w:rPr>
        <w:t>Basis optimization options, land acquisitions, options,</w:t>
      </w:r>
      <w:r>
        <w:rPr>
          <w:color w:val="6E6158"/>
          <w:spacing w:val="40"/>
        </w:rPr>
        <w:t> </w:t>
      </w:r>
      <w:r>
        <w:rPr>
          <w:color w:val="6E6158"/>
        </w:rPr>
        <w:t>easements and covenants, plat and dedication review and collaboration with engineers, </w:t>
      </w:r>
      <w:r>
        <w:rPr>
          <w:color w:val="6E6158"/>
        </w:rPr>
        <w:t>well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road</w:t>
      </w:r>
      <w:r>
        <w:rPr>
          <w:color w:val="6E6158"/>
          <w:spacing w:val="38"/>
        </w:rPr>
        <w:t> </w:t>
      </w:r>
      <w:r>
        <w:rPr>
          <w:color w:val="6E6158"/>
        </w:rPr>
        <w:t>agreements,</w:t>
      </w:r>
      <w:r>
        <w:rPr>
          <w:color w:val="6E6158"/>
          <w:spacing w:val="38"/>
        </w:rPr>
        <w:t> </w:t>
      </w:r>
      <w:r>
        <w:rPr>
          <w:color w:val="6E6158"/>
        </w:rPr>
        <w:t>review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negotiation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construction</w:t>
      </w:r>
      <w:r>
        <w:rPr>
          <w:color w:val="6E6158"/>
          <w:spacing w:val="38"/>
        </w:rPr>
        <w:t> </w:t>
      </w:r>
      <w:r>
        <w:rPr>
          <w:color w:val="6E6158"/>
        </w:rPr>
        <w:t>loan</w:t>
      </w:r>
      <w:r>
        <w:rPr>
          <w:color w:val="6E6158"/>
          <w:spacing w:val="38"/>
        </w:rPr>
        <w:t> </w:t>
      </w:r>
      <w:r>
        <w:rPr>
          <w:color w:val="6E6158"/>
        </w:rPr>
        <w:t>documentation,</w:t>
      </w:r>
      <w:r>
        <w:rPr>
          <w:color w:val="6E6158"/>
          <w:spacing w:val="38"/>
        </w:rPr>
        <w:t> </w:t>
      </w:r>
      <w:r>
        <w:rPr>
          <w:color w:val="6E6158"/>
        </w:rPr>
        <w:t>sales</w:t>
      </w:r>
    </w:p>
    <w:p>
      <w:pPr>
        <w:pStyle w:val="BodyText"/>
        <w:spacing w:line="302" w:lineRule="auto" w:before="2"/>
        <w:ind w:right="619"/>
      </w:pPr>
      <w:r>
        <w:rPr>
          <w:color w:val="6E6158"/>
        </w:rPr>
        <w:t>contracts, reviewing applications for subdivision public report, and navigating federal </w:t>
      </w:r>
      <w:r>
        <w:rPr>
          <w:color w:val="6E6158"/>
        </w:rPr>
        <w:t>land</w:t>
      </w:r>
      <w:r>
        <w:rPr>
          <w:color w:val="6E6158"/>
          <w:spacing w:val="40"/>
        </w:rPr>
        <w:t> </w:t>
      </w:r>
      <w:r>
        <w:rPr>
          <w:color w:val="6E6158"/>
        </w:rPr>
        <w:t>sales disclosure exemptions.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131151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6875pt;width:1.65pt;height:1.65pt;mso-position-horizontal-relative:page;mso-position-vertical-relative:paragraph;z-index:15731200" id="docshape11" coordorigin="1675,207" coordsize="33,33" path="m1696,239l1687,239,1683,237,1676,231,1675,227,1675,218,1676,214,1683,208,1687,207,1696,207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6E6158"/>
          <w:sz w:val="19"/>
        </w:rPr>
        <w:t>Contract</w:t>
      </w:r>
      <w:r>
        <w:rPr>
          <w:b/>
          <w:color w:val="6E6158"/>
          <w:spacing w:val="12"/>
          <w:sz w:val="19"/>
        </w:rPr>
        <w:t> </w:t>
      </w:r>
      <w:r>
        <w:rPr>
          <w:b/>
          <w:color w:val="6E6158"/>
          <w:sz w:val="19"/>
        </w:rPr>
        <w:t>Drafting</w:t>
      </w:r>
      <w:r>
        <w:rPr>
          <w:b/>
          <w:color w:val="6E6158"/>
          <w:spacing w:val="12"/>
          <w:sz w:val="19"/>
        </w:rPr>
        <w:t> </w:t>
      </w:r>
      <w:r>
        <w:rPr>
          <w:b/>
          <w:color w:val="6E6158"/>
          <w:sz w:val="19"/>
        </w:rPr>
        <w:t>&amp;</w:t>
      </w:r>
      <w:r>
        <w:rPr>
          <w:b/>
          <w:color w:val="6E6158"/>
          <w:spacing w:val="13"/>
          <w:sz w:val="19"/>
        </w:rPr>
        <w:t> </w:t>
      </w:r>
      <w:r>
        <w:rPr>
          <w:b/>
          <w:color w:val="6E6158"/>
          <w:sz w:val="19"/>
        </w:rPr>
        <w:t>Negotiation:</w:t>
      </w:r>
      <w:r>
        <w:rPr>
          <w:b/>
          <w:color w:val="6E6158"/>
          <w:spacing w:val="12"/>
          <w:sz w:val="19"/>
        </w:rPr>
        <w:t> </w:t>
      </w:r>
      <w:r>
        <w:rPr>
          <w:color w:val="6E6158"/>
          <w:sz w:val="19"/>
        </w:rPr>
        <w:t>drafting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negotiating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a</w:t>
      </w:r>
      <w:r>
        <w:rPr>
          <w:color w:val="6E6158"/>
          <w:spacing w:val="13"/>
          <w:sz w:val="19"/>
        </w:rPr>
        <w:t> </w:t>
      </w:r>
      <w:r>
        <w:rPr>
          <w:color w:val="6E6158"/>
          <w:sz w:val="19"/>
        </w:rPr>
        <w:t>wide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range</w:t>
      </w:r>
      <w:r>
        <w:rPr>
          <w:color w:val="6E6158"/>
          <w:spacing w:val="1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13"/>
          <w:sz w:val="19"/>
        </w:rPr>
        <w:t> </w:t>
      </w:r>
      <w:r>
        <w:rPr>
          <w:color w:val="6E6158"/>
          <w:spacing w:val="-2"/>
          <w:sz w:val="19"/>
        </w:rPr>
        <w:t>contracts.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619"/>
      </w:pPr>
      <w:r>
        <w:rPr>
          <w:color w:val="6E6158"/>
        </w:rPr>
        <w:t>Roger enjoys the great outdoors in his free time by gardening, fishing, and hunting. He also loves</w:t>
      </w:r>
      <w:r>
        <w:rPr>
          <w:color w:val="6E6158"/>
          <w:spacing w:val="40"/>
        </w:rPr>
        <w:t> </w:t>
      </w:r>
      <w:r>
        <w:rPr>
          <w:color w:val="6E6158"/>
        </w:rPr>
        <w:t>reading and spending time with his grandchildren.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before="13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152408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658pt;width:1.65pt;height:1.65pt;mso-position-horizontal-relative:page;mso-position-vertical-relative:paragraph;z-index:15731712" id="docshape1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Brigham</w:t>
      </w:r>
      <w:r>
        <w:rPr>
          <w:color w:val="6E6158"/>
          <w:spacing w:val="8"/>
        </w:rPr>
        <w:t> </w:t>
      </w:r>
      <w:r>
        <w:rPr>
          <w:color w:val="6E6158"/>
        </w:rPr>
        <w:t>Young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8"/>
        </w:rPr>
        <w:t> </w:t>
      </w:r>
      <w:r>
        <w:rPr>
          <w:color w:val="6E6158"/>
        </w:rPr>
        <w:t>J.</w:t>
      </w:r>
      <w:r>
        <w:rPr>
          <w:color w:val="6E6158"/>
          <w:spacing w:val="8"/>
        </w:rPr>
        <w:t> </w:t>
      </w:r>
      <w:r>
        <w:rPr>
          <w:color w:val="6E6158"/>
        </w:rPr>
        <w:t>Reuben</w:t>
      </w:r>
      <w:r>
        <w:rPr>
          <w:color w:val="6E6158"/>
          <w:spacing w:val="8"/>
        </w:rPr>
        <w:t> </w:t>
      </w:r>
      <w:r>
        <w:rPr>
          <w:color w:val="6E6158"/>
        </w:rPr>
        <w:t>Clark</w:t>
      </w:r>
      <w:r>
        <w:rPr>
          <w:color w:val="6E6158"/>
          <w:spacing w:val="8"/>
        </w:rPr>
        <w:t> </w:t>
      </w:r>
      <w:r>
        <w:rPr>
          <w:color w:val="6E6158"/>
        </w:rPr>
        <w:t>Law</w:t>
      </w:r>
      <w:r>
        <w:rPr>
          <w:color w:val="6E6158"/>
          <w:spacing w:val="8"/>
        </w:rPr>
        <w:t> </w:t>
      </w:r>
      <w:r>
        <w:rPr>
          <w:color w:val="6E6158"/>
        </w:rPr>
        <w:t>School,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after="0"/>
        <w:rPr>
          <w:i/>
          <w:sz w:val="20"/>
        </w:rPr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3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736" id="docshape14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M.A., Brigham Young University, Marriott School of </w:t>
      </w:r>
      <w:r>
        <w:rPr>
          <w:color w:val="6E6158"/>
        </w:rPr>
        <w:t>Business</w:t>
      </w:r>
      <w:r>
        <w:rPr>
          <w:color w:val="6E6158"/>
        </w:rPr>
        <w:t> B.S., Arizona State University</w:t>
      </w:r>
    </w:p>
    <w:p>
      <w:pPr>
        <w:pStyle w:val="Heading1"/>
        <w:spacing w:before="4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7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83pt;width:1.65pt;height:1.65pt;mso-position-horizontal-relative:page;mso-position-vertical-relative:paragraph;z-index:15733248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416228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907pt;width:1.65pt;height:1.65pt;mso-position-horizontal-relative:page;mso-position-vertical-relative:paragraph;z-index:15733760" id="docshape1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-3"/>
        </w:rPr>
        <w:t> </w:t>
      </w:r>
      <w:r>
        <w:rPr>
          <w:color w:val="6E6158"/>
        </w:rPr>
        <w:t>&amp;</w:t>
      </w:r>
      <w:r>
        <w:rPr>
          <w:color w:val="6E6158"/>
          <w:spacing w:val="-3"/>
        </w:rPr>
        <w:t> </w:t>
      </w:r>
      <w:r>
        <w:rPr>
          <w:color w:val="6E6158"/>
        </w:rPr>
        <w:t>Estates Tax Law</w:t>
      </w:r>
    </w:p>
    <w:p>
      <w:pPr>
        <w:pStyle w:val="BodyText"/>
        <w:spacing w:line="422" w:lineRule="auto"/>
        <w:ind w:right="75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63508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0688pt;width:1.65pt;height:1.65pt;mso-position-horizontal-relative:page;mso-position-vertical-relative:paragraph;z-index:15734272" id="docshape17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321874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4437pt;width:1.65pt;height:1.65pt;mso-position-horizontal-relative:page;mso-position-vertical-relative:paragraph;z-index:15734784" id="docshape18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580239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688187pt;width:1.65pt;height:1.65pt;mso-position-horizontal-relative:page;mso-position-vertical-relative:paragraph;z-index:15735296" id="docshape19" coordorigin="1675,914" coordsize="33,33" path="m1696,946l1687,946,1683,945,1676,938,1675,935,1675,926,1676,922,1683,915,1687,914,1696,914,1699,915,1706,922,1707,926,1707,930,1707,935,1706,938,1699,945,1696,9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Planning Real Estate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62724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38928pt;width:1.65pt;height:1.65pt;mso-position-horizontal-relative:page;mso-position-vertical-relative:paragraph;z-index:15735808" id="docshape20" coordorigin="1675,99" coordsize="33,33" path="m1696,131l1687,131,1683,130,1676,123,1675,120,1675,111,1676,107,1683,100,1687,99,1696,99,1699,100,1706,107,1707,111,1707,115,1707,120,1706,123,1699,130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Family</w:t>
      </w:r>
      <w:r>
        <w:rPr>
          <w:color w:val="6E6158"/>
          <w:spacing w:val="10"/>
        </w:rPr>
        <w:t> </w:t>
      </w:r>
      <w:r>
        <w:rPr>
          <w:color w:val="6E6158"/>
        </w:rPr>
        <w:t>Office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1"/>
        </w:rPr>
        <w:t> </w:t>
      </w:r>
      <w:r>
        <w:rPr>
          <w:color w:val="6E6158"/>
        </w:rPr>
        <w:t>Private</w:t>
      </w:r>
      <w:r>
        <w:rPr>
          <w:color w:val="6E6158"/>
          <w:spacing w:val="11"/>
        </w:rPr>
        <w:t> </w:t>
      </w:r>
      <w:r>
        <w:rPr>
          <w:color w:val="6E6158"/>
        </w:rPr>
        <w:t>Client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Attorneys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16" w:lineRule="exact" w:before="5"/>
        <w:ind w:right="5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157857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712pt;width:1.65pt;height:1.65pt;mso-position-horizontal-relative:page;mso-position-vertical-relative:paragraph;z-index:15736320" id="docshape2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Maricopa County Extension Master Gardener, Budget/Finance Committee, 2015-</w:t>
      </w:r>
      <w:r>
        <w:rPr>
          <w:color w:val="6E6158"/>
        </w:rPr>
        <w:t>Present Precinct Committeeman, Maricopa County, 2012-2018</w:t>
      </w:r>
    </w:p>
    <w:p>
      <w:pPr>
        <w:pStyle w:val="BodyText"/>
        <w:spacing w:before="10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106922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8.419086pt;width:1.65pt;height:1.65pt;mso-position-horizontal-relative:page;mso-position-vertical-relative:paragraph;z-index:15736832" id="docshape22" coordorigin="1675,168" coordsize="33,33" path="m1696,201l1687,201,1683,199,1676,193,1675,189,1675,180,1676,176,1683,170,1687,168,1696,168,1699,170,1706,176,1707,180,1707,185,1707,189,1706,193,1699,199,16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1378727</wp:posOffset>
                </wp:positionH>
                <wp:positionV relativeFrom="paragraph">
                  <wp:posOffset>65583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5.164085pt;width:1.65pt;height:1.65pt;mso-position-horizontal-relative:page;mso-position-vertical-relative:paragraph;z-index:15737344" id="docshape23" coordorigin="2171,103" coordsize="33,33" path="m2192,136l2183,136,2179,134,2173,128,2171,124,2171,115,2173,111,2179,105,2183,103,2192,103,2196,105,2202,111,2204,115,2204,120,2204,124,2202,128,2196,134,2192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District</w:t>
      </w:r>
      <w:r>
        <w:rPr>
          <w:color w:val="6E6158"/>
          <w:spacing w:val="20"/>
        </w:rPr>
        <w:t> </w:t>
      </w:r>
      <w:r>
        <w:rPr>
          <w:color w:val="6E6158"/>
        </w:rPr>
        <w:t>Secretary,</w:t>
      </w:r>
      <w:r>
        <w:rPr>
          <w:color w:val="6E6158"/>
          <w:spacing w:val="21"/>
        </w:rPr>
        <w:t> </w:t>
      </w:r>
      <w:r>
        <w:rPr>
          <w:color w:val="6E6158"/>
        </w:rPr>
        <w:t>2012-</w:t>
      </w:r>
      <w:r>
        <w:rPr>
          <w:color w:val="6E6158"/>
          <w:spacing w:val="-4"/>
        </w:rPr>
        <w:t>2014</w:t>
      </w:r>
    </w:p>
    <w:p>
      <w:pPr>
        <w:pStyle w:val="BodyText"/>
        <w:spacing w:before="173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1378727</wp:posOffset>
                </wp:positionH>
                <wp:positionV relativeFrom="paragraph">
                  <wp:posOffset>174840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67005pt;width:1.65pt;height:1.65pt;mso-position-horizontal-relative:page;mso-position-vertical-relative:paragraph;z-index:15737856" id="docshape24" coordorigin="2171,275" coordsize="33,33" path="m2192,308l2183,308,2179,306,2173,300,2171,296,2171,287,2173,283,2179,277,2183,275,2192,275,2196,277,2202,283,2204,287,2204,292,2204,296,2202,300,2196,306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County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Bylaws</w:t>
      </w:r>
      <w:r>
        <w:rPr>
          <w:color w:val="6E6158"/>
          <w:spacing w:val="16"/>
        </w:rPr>
        <w:t> </w:t>
      </w:r>
      <w:r>
        <w:rPr>
          <w:color w:val="6E6158"/>
        </w:rPr>
        <w:t>Committees,</w:t>
      </w:r>
      <w:r>
        <w:rPr>
          <w:color w:val="6E6158"/>
          <w:spacing w:val="15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2017</w:t>
      </w:r>
    </w:p>
    <w:p>
      <w:pPr>
        <w:pStyle w:val="BodyText"/>
        <w:spacing w:line="302" w:lineRule="auto" w:before="174"/>
        <w:ind w:right="10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268437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6799pt;width:1.65pt;height:1.65pt;mso-position-horizontal-relative:page;mso-position-vertical-relative:paragraph;z-index:15738368" id="docshape25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Assistant Scoutmaster, Committee Chair, Mentor, Boy Scouts of America &amp; Youth Groups, </w:t>
      </w:r>
      <w:r>
        <w:rPr>
          <w:color w:val="6E6158"/>
          <w:spacing w:val="-2"/>
        </w:rPr>
        <w:t>1990s-2014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136551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2081pt;width:1.65pt;height:1.65pt;mso-position-horizontal-relative:page;mso-position-vertical-relative:paragraph;z-index:15738880" id="docshape26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</w:t>
      </w:r>
      <w:r>
        <w:rPr>
          <w:color w:val="6E6158"/>
          <w:spacing w:val="14"/>
        </w:rPr>
        <w:t> </w:t>
      </w:r>
      <w:r>
        <w:rPr>
          <w:color w:val="6E6158"/>
        </w:rPr>
        <w:t>East</w:t>
      </w:r>
      <w:r>
        <w:rPr>
          <w:color w:val="6E6158"/>
          <w:spacing w:val="14"/>
        </w:rPr>
        <w:t> </w:t>
      </w:r>
      <w:r>
        <w:rPr>
          <w:color w:val="6E6158"/>
        </w:rPr>
        <w:t>Mesa</w:t>
      </w:r>
      <w:r>
        <w:rPr>
          <w:color w:val="6E6158"/>
          <w:spacing w:val="14"/>
        </w:rPr>
        <w:t> </w:t>
      </w:r>
      <w:r>
        <w:rPr>
          <w:color w:val="6E6158"/>
        </w:rPr>
        <w:t>Rotary</w:t>
      </w:r>
      <w:r>
        <w:rPr>
          <w:color w:val="6E6158"/>
          <w:spacing w:val="14"/>
        </w:rPr>
        <w:t> </w:t>
      </w:r>
      <w:r>
        <w:rPr>
          <w:color w:val="6E6158"/>
        </w:rPr>
        <w:t>Club,</w:t>
      </w:r>
      <w:r>
        <w:rPr>
          <w:color w:val="6E6158"/>
          <w:spacing w:val="14"/>
        </w:rPr>
        <w:t> </w:t>
      </w:r>
      <w:r>
        <w:rPr>
          <w:color w:val="6E6158"/>
        </w:rPr>
        <w:t>2005-</w:t>
      </w:r>
      <w:r>
        <w:rPr>
          <w:color w:val="6E6158"/>
          <w:spacing w:val="-4"/>
        </w:rPr>
        <w:t>2006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8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157874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1094pt;width:1.65pt;height:1.65pt;mso-position-horizontal-relative:page;mso-position-vertical-relative:paragraph;z-index:15739392" id="docshape27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416240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4837pt;width:1.65pt;height:1.65pt;mso-position-horizontal-relative:page;mso-position-vertical-relative:paragraph;z-index:15739904" id="docshape28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Idaho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rheywood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2025-04-02T16:19:46Z</dcterms:created>
  <dcterms:modified xsi:type="dcterms:W3CDTF">2025-04-02T16:19:46Z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m117</vt:lpwstr>
  </property>
</Properties>
</file>