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03434" y="1369338"/>
                            <a:ext cx="209296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2960" h="320675">
                                <a:moveTo>
                                  <a:pt x="2092756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2092756" y="320382"/>
                                </a:lnTo>
                                <a:lnTo>
                                  <a:pt x="2092756" y="315214"/>
                                </a:lnTo>
                                <a:close/>
                              </a:path>
                              <a:path w="2092960" h="320675">
                                <a:moveTo>
                                  <a:pt x="20927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092756" y="5168"/>
                                </a:lnTo>
                                <a:lnTo>
                                  <a:pt x="2092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501176" y="763308"/>
                            <a:ext cx="211010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WILLIAM G.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KLAIN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353622" y="1859626"/>
                            <a:ext cx="4051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83773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602.916.5308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741574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602.916.5999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52312" y="2226505"/>
                            <a:ext cx="140779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wklain@fennemorelaw.com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6858;top:2716;width:3296;height:505" id="docshape5" coordorigin="6858,2716" coordsize="3296,505" path="m10154,3213l6858,3213,6858,3221,10154,3221,10154,3213xm10154,2716l6858,2716,6858,2725,10154,2725,1015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54;top:1762;width:3323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WILLIAM G.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KLAIN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197;top:3488;width:638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84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602.916.5308</w:t>
                        </w:r>
                      </w:p>
                    </w:txbxContent>
                  </v:textbox>
                  <w10:wrap type="none"/>
                </v:shape>
                <v:shape style="position:absolute;left:8808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602.916.5999</w:t>
                        </w:r>
                      </w:p>
                    </w:txbxContent>
                  </v:textbox>
                  <w10:wrap type="none"/>
                </v:shape>
                <v:shape style="position:absolute;left:7407;top:4066;width:2217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wklain@fennemorelaw.com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241"/>
        <w:ind w:left="0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WILLIAM</w:t>
      </w:r>
      <w:r>
        <w:rPr>
          <w:color w:val="FF8100"/>
          <w:spacing w:val="7"/>
        </w:rPr>
        <w:t> </w:t>
      </w:r>
      <w:r>
        <w:rPr>
          <w:color w:val="FF8100"/>
        </w:rPr>
        <w:t>G.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KLAIN</w:t>
      </w:r>
    </w:p>
    <w:p>
      <w:pPr>
        <w:pStyle w:val="BodyText"/>
        <w:spacing w:line="297" w:lineRule="auto" w:before="147"/>
        <w:ind w:left="104" w:right="289"/>
      </w:pPr>
      <w:r>
        <w:rPr>
          <w:color w:val="6E6158"/>
        </w:rPr>
        <w:t>With an impressive career spanning nearly 30 years, Bill Klain represents his clients in a broad</w:t>
      </w:r>
      <w:r>
        <w:rPr>
          <w:color w:val="6E6158"/>
          <w:spacing w:val="40"/>
        </w:rPr>
        <w:t> </w:t>
      </w:r>
      <w:r>
        <w:rPr>
          <w:color w:val="6E6158"/>
        </w:rPr>
        <w:t>range of business disputes and in the formation and governance of corporations, partnerships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limited</w:t>
      </w:r>
      <w:r>
        <w:rPr>
          <w:color w:val="6E6158"/>
          <w:spacing w:val="31"/>
        </w:rPr>
        <w:t> </w:t>
      </w:r>
      <w:r>
        <w:rPr>
          <w:color w:val="6E6158"/>
        </w:rPr>
        <w:t>liability</w:t>
      </w:r>
      <w:r>
        <w:rPr>
          <w:color w:val="6E6158"/>
          <w:spacing w:val="31"/>
        </w:rPr>
        <w:t> </w:t>
      </w:r>
      <w:r>
        <w:rPr>
          <w:color w:val="6E6158"/>
        </w:rPr>
        <w:t>companies.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distinguished</w:t>
      </w:r>
      <w:r>
        <w:rPr>
          <w:color w:val="6E6158"/>
          <w:spacing w:val="31"/>
        </w:rPr>
        <w:t> </w:t>
      </w:r>
      <w:r>
        <w:rPr>
          <w:color w:val="6E6158"/>
        </w:rPr>
        <w:t>figure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fields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Arizona</w:t>
      </w:r>
      <w:r>
        <w:rPr>
          <w:color w:val="6E6158"/>
          <w:spacing w:val="31"/>
        </w:rPr>
        <w:t> </w:t>
      </w:r>
      <w:r>
        <w:rPr>
          <w:color w:val="6E6158"/>
        </w:rPr>
        <w:t>commercial litigation and corporate law, Bill helps his clients successfully navigate and resolve their </w:t>
      </w:r>
      <w:r>
        <w:rPr>
          <w:color w:val="6E6158"/>
        </w:rPr>
        <w:t>disputes</w:t>
      </w:r>
      <w:r>
        <w:rPr>
          <w:color w:val="6E6158"/>
          <w:spacing w:val="40"/>
        </w:rPr>
        <w:t> </w:t>
      </w:r>
      <w:r>
        <w:rPr>
          <w:color w:val="6E6158"/>
        </w:rPr>
        <w:t>involving business divorces and dissolutions, fiduciary breaches, business torts, sales contracts,</w:t>
      </w:r>
      <w:r>
        <w:rPr>
          <w:color w:val="6E6158"/>
          <w:spacing w:val="40"/>
        </w:rPr>
        <w:t> </w:t>
      </w:r>
      <w:r>
        <w:rPr>
          <w:color w:val="6E6158"/>
        </w:rPr>
        <w:t>buy-sell</w:t>
      </w:r>
      <w:r>
        <w:rPr>
          <w:color w:val="6E6158"/>
          <w:spacing w:val="40"/>
        </w:rPr>
        <w:t>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non-compete,</w:t>
      </w:r>
      <w:r>
        <w:rPr>
          <w:color w:val="6E6158"/>
          <w:spacing w:val="40"/>
        </w:rPr>
        <w:t> </w:t>
      </w:r>
      <w:r>
        <w:rPr>
          <w:color w:val="6E6158"/>
        </w:rPr>
        <w:t>non-solicitation,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non-disclosure</w:t>
      </w:r>
      <w:r>
        <w:rPr>
          <w:color w:val="6E6158"/>
          <w:spacing w:val="40"/>
        </w:rPr>
        <w:t> </w:t>
      </w:r>
      <w:r>
        <w:rPr>
          <w:color w:val="6E6158"/>
        </w:rPr>
        <w:t>agreements,</w:t>
      </w:r>
      <w:r>
        <w:rPr>
          <w:color w:val="6E6158"/>
          <w:spacing w:val="40"/>
        </w:rPr>
        <w:t> </w:t>
      </w:r>
      <w:r>
        <w:rPr>
          <w:color w:val="6E6158"/>
        </w:rPr>
        <w:t>civil</w:t>
      </w:r>
    </w:p>
    <w:p>
      <w:pPr>
        <w:pStyle w:val="BodyText"/>
        <w:spacing w:line="292" w:lineRule="auto"/>
        <w:ind w:left="104" w:right="289"/>
      </w:pPr>
      <w:r>
        <w:rPr>
          <w:color w:val="6E6158"/>
        </w:rPr>
        <w:t>appeals, and a variety of other complex civil legal matters. He is also an experienced private</w:t>
      </w:r>
      <w:r>
        <w:rPr>
          <w:color w:val="6E6158"/>
          <w:spacing w:val="40"/>
        </w:rPr>
        <w:t> </w:t>
      </w:r>
      <w:r>
        <w:rPr>
          <w:color w:val="6E6158"/>
        </w:rPr>
        <w:t>mediator and arbitrator, helping parties reach private resolutions of their civil matters,</w:t>
      </w:r>
    </w:p>
    <w:p>
      <w:pPr>
        <w:pStyle w:val="BodyText"/>
        <w:spacing w:line="292" w:lineRule="auto" w:before="197"/>
        <w:ind w:left="104" w:right="874"/>
        <w:jc w:val="both"/>
      </w:pPr>
      <w:r>
        <w:rPr>
          <w:color w:val="6E6158"/>
        </w:rPr>
        <w:t>Bill’s practice is defined by his dedication and commitment to his clients, impressive </w:t>
      </w:r>
      <w:r>
        <w:rPr>
          <w:color w:val="6E6158"/>
        </w:rPr>
        <w:t>legal knowledge, and extensive courtroom and trial experience. His track record of success in commercial</w:t>
      </w:r>
      <w:r>
        <w:rPr>
          <w:color w:val="6E6158"/>
          <w:spacing w:val="31"/>
        </w:rPr>
        <w:t> </w:t>
      </w:r>
      <w:r>
        <w:rPr>
          <w:color w:val="6E6158"/>
        </w:rPr>
        <w:t>litigation</w:t>
      </w:r>
      <w:r>
        <w:rPr>
          <w:color w:val="6E6158"/>
          <w:spacing w:val="31"/>
        </w:rPr>
        <w:t> </w:t>
      </w:r>
      <w:r>
        <w:rPr>
          <w:color w:val="6E6158"/>
        </w:rPr>
        <w:t>has</w:t>
      </w:r>
      <w:r>
        <w:rPr>
          <w:color w:val="6E6158"/>
          <w:spacing w:val="31"/>
        </w:rPr>
        <w:t> </w:t>
      </w:r>
      <w:r>
        <w:rPr>
          <w:color w:val="6E6158"/>
        </w:rPr>
        <w:t>earned</w:t>
      </w:r>
      <w:r>
        <w:rPr>
          <w:color w:val="6E6158"/>
          <w:spacing w:val="31"/>
        </w:rPr>
        <w:t> </w:t>
      </w:r>
      <w:r>
        <w:rPr>
          <w:color w:val="6E6158"/>
        </w:rPr>
        <w:t>him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reputation</w:t>
      </w:r>
      <w:r>
        <w:rPr>
          <w:color w:val="6E6158"/>
          <w:spacing w:val="31"/>
        </w:rPr>
        <w:t> </w:t>
      </w:r>
      <w:r>
        <w:rPr>
          <w:color w:val="6E6158"/>
        </w:rPr>
        <w:t>as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formidable</w:t>
      </w:r>
      <w:r>
        <w:rPr>
          <w:color w:val="6E6158"/>
          <w:spacing w:val="31"/>
        </w:rPr>
        <w:t> </w:t>
      </w:r>
      <w:r>
        <w:rPr>
          <w:color w:val="6E6158"/>
        </w:rPr>
        <w:t>advocate</w:t>
      </w:r>
      <w:r>
        <w:rPr>
          <w:color w:val="6E6158"/>
          <w:spacing w:val="31"/>
        </w:rPr>
        <w:t> </w:t>
      </w:r>
      <w:r>
        <w:rPr>
          <w:color w:val="6E6158"/>
        </w:rPr>
        <w:t>for</w:t>
      </w:r>
      <w:r>
        <w:rPr>
          <w:color w:val="6E6158"/>
          <w:spacing w:val="31"/>
        </w:rPr>
        <w:t> </w:t>
      </w:r>
      <w:r>
        <w:rPr>
          <w:color w:val="6E6158"/>
        </w:rPr>
        <w:t>those</w:t>
      </w:r>
    </w:p>
    <w:p>
      <w:pPr>
        <w:pStyle w:val="BodyText"/>
        <w:spacing w:line="302" w:lineRule="auto" w:before="2"/>
        <w:ind w:left="104"/>
      </w:pPr>
      <w:r>
        <w:rPr>
          <w:color w:val="6E6158"/>
        </w:rPr>
        <w:t>navigating the intricate landscape of business disputes. Bill’s deep understanding of </w:t>
      </w:r>
      <w:r>
        <w:rPr>
          <w:color w:val="6E6158"/>
        </w:rPr>
        <w:t>corporate</w:t>
      </w:r>
      <w:r>
        <w:rPr>
          <w:color w:val="6E6158"/>
          <w:spacing w:val="40"/>
        </w:rPr>
        <w:t> </w:t>
      </w:r>
      <w:r>
        <w:rPr>
          <w:color w:val="6E6158"/>
        </w:rPr>
        <w:t>structures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governance</w:t>
      </w:r>
      <w:r>
        <w:rPr>
          <w:color w:val="6E6158"/>
          <w:spacing w:val="32"/>
        </w:rPr>
        <w:t> </w:t>
      </w:r>
      <w:r>
        <w:rPr>
          <w:color w:val="6E6158"/>
        </w:rPr>
        <w:t>enables</w:t>
      </w:r>
      <w:r>
        <w:rPr>
          <w:color w:val="6E6158"/>
          <w:spacing w:val="32"/>
        </w:rPr>
        <w:t> </w:t>
      </w:r>
      <w:r>
        <w:rPr>
          <w:color w:val="6E6158"/>
        </w:rPr>
        <w:t>his</w:t>
      </w:r>
      <w:r>
        <w:rPr>
          <w:color w:val="6E6158"/>
          <w:spacing w:val="32"/>
        </w:rPr>
        <w:t> </w:t>
      </w:r>
      <w:r>
        <w:rPr>
          <w:color w:val="6E6158"/>
        </w:rPr>
        <w:t>clients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establish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maintain</w:t>
      </w:r>
      <w:r>
        <w:rPr>
          <w:color w:val="6E6158"/>
          <w:spacing w:val="32"/>
        </w:rPr>
        <w:t> </w:t>
      </w:r>
      <w:r>
        <w:rPr>
          <w:color w:val="6E6158"/>
        </w:rPr>
        <w:t>their</w:t>
      </w:r>
      <w:r>
        <w:rPr>
          <w:color w:val="6E6158"/>
          <w:spacing w:val="32"/>
        </w:rPr>
        <w:t> </w:t>
      </w:r>
      <w:r>
        <w:rPr>
          <w:color w:val="6E6158"/>
        </w:rPr>
        <w:t>enterprises</w:t>
      </w:r>
      <w:r>
        <w:rPr>
          <w:color w:val="6E6158"/>
          <w:spacing w:val="32"/>
        </w:rPr>
        <w:t> </w:t>
      </w:r>
      <w:r>
        <w:rPr>
          <w:color w:val="6E6158"/>
        </w:rPr>
        <w:t>with</w:t>
      </w:r>
    </w:p>
    <w:p>
      <w:pPr>
        <w:pStyle w:val="BodyText"/>
        <w:spacing w:line="224" w:lineRule="exact"/>
        <w:ind w:left="104"/>
      </w:pPr>
      <w:r>
        <w:rPr>
          <w:color w:val="6E6158"/>
          <w:spacing w:val="-2"/>
        </w:rPr>
        <w:t>confidence.</w:t>
      </w:r>
    </w:p>
    <w:p>
      <w:pPr>
        <w:pStyle w:val="BodyText"/>
        <w:spacing w:before="14"/>
        <w:ind w:left="0"/>
      </w:pPr>
    </w:p>
    <w:p>
      <w:pPr>
        <w:pStyle w:val="BodyText"/>
        <w:spacing w:line="297" w:lineRule="auto"/>
        <w:ind w:left="104" w:right="412"/>
      </w:pPr>
      <w:r>
        <w:rPr>
          <w:color w:val="6E6158"/>
        </w:rPr>
        <w:t>Bill’s commitment to the legal profession is further exemplified by his active involvement in</w:t>
      </w:r>
      <w:r>
        <w:rPr>
          <w:color w:val="6E6158"/>
          <w:spacing w:val="40"/>
        </w:rPr>
        <w:t> </w:t>
      </w:r>
      <w:r>
        <w:rPr>
          <w:color w:val="6E6158"/>
        </w:rPr>
        <w:t>Arizona’s legal community. He serves as a member of the Arizona Judicial Council’s </w:t>
      </w:r>
      <w:r>
        <w:rPr>
          <w:color w:val="6E6158"/>
        </w:rPr>
        <w:t>Committee</w:t>
      </w:r>
      <w:r>
        <w:rPr>
          <w:color w:val="6E6158"/>
          <w:spacing w:val="40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Superior</w:t>
      </w:r>
      <w:r>
        <w:rPr>
          <w:color w:val="6E6158"/>
          <w:spacing w:val="29"/>
        </w:rPr>
        <w:t> </w:t>
      </w:r>
      <w:r>
        <w:rPr>
          <w:color w:val="6E6158"/>
        </w:rPr>
        <w:t>Court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State</w:t>
      </w:r>
      <w:r>
        <w:rPr>
          <w:color w:val="6E6158"/>
          <w:spacing w:val="29"/>
        </w:rPr>
        <w:t> </w:t>
      </w:r>
      <w:r>
        <w:rPr>
          <w:color w:val="6E6158"/>
        </w:rPr>
        <w:t>Bar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Arizona’s</w:t>
      </w:r>
      <w:r>
        <w:rPr>
          <w:color w:val="6E6158"/>
          <w:spacing w:val="29"/>
        </w:rPr>
        <w:t> </w:t>
      </w:r>
      <w:r>
        <w:rPr>
          <w:color w:val="6E6158"/>
        </w:rPr>
        <w:t>Civil</w:t>
      </w:r>
      <w:r>
        <w:rPr>
          <w:color w:val="6E6158"/>
          <w:spacing w:val="29"/>
        </w:rPr>
        <w:t> </w:t>
      </w:r>
      <w:r>
        <w:rPr>
          <w:color w:val="6E6158"/>
        </w:rPr>
        <w:t>Practice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Procedure</w:t>
      </w:r>
      <w:r>
        <w:rPr>
          <w:color w:val="6E6158"/>
          <w:spacing w:val="29"/>
        </w:rPr>
        <w:t> </w:t>
      </w:r>
      <w:r>
        <w:rPr>
          <w:color w:val="6E6158"/>
        </w:rPr>
        <w:t>Committee.</w:t>
      </w:r>
    </w:p>
    <w:p>
      <w:pPr>
        <w:pStyle w:val="BodyText"/>
        <w:spacing w:line="292" w:lineRule="auto"/>
        <w:ind w:left="104" w:right="412"/>
      </w:pPr>
      <w:r>
        <w:rPr>
          <w:color w:val="6E6158"/>
        </w:rPr>
        <w:t>Previously, he chaired the Arizona Supreme Court’s Task Force on the Rules of Civil Procedure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served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the</w:t>
      </w:r>
      <w:r>
        <w:rPr>
          <w:color w:val="6E6158"/>
          <w:spacing w:val="29"/>
        </w:rPr>
        <w:t> </w:t>
      </w:r>
      <w:r>
        <w:rPr>
          <w:color w:val="6E6158"/>
        </w:rPr>
        <w:t>Court’s</w:t>
      </w:r>
      <w:r>
        <w:rPr>
          <w:color w:val="6E6158"/>
          <w:spacing w:val="29"/>
        </w:rPr>
        <w:t> </w:t>
      </w:r>
      <w:r>
        <w:rPr>
          <w:color w:val="6E6158"/>
        </w:rPr>
        <w:t>Advisory</w:t>
      </w:r>
      <w:r>
        <w:rPr>
          <w:color w:val="6E6158"/>
          <w:spacing w:val="29"/>
        </w:rPr>
        <w:t> </w:t>
      </w:r>
      <w:r>
        <w:rPr>
          <w:color w:val="6E6158"/>
        </w:rPr>
        <w:t>Committee</w:t>
      </w:r>
      <w:r>
        <w:rPr>
          <w:color w:val="6E6158"/>
          <w:spacing w:val="29"/>
        </w:rPr>
        <w:t> </w:t>
      </w:r>
      <w:r>
        <w:rPr>
          <w:color w:val="6E6158"/>
        </w:rPr>
        <w:t>on</w:t>
      </w:r>
      <w:r>
        <w:rPr>
          <w:color w:val="6E6158"/>
          <w:spacing w:val="29"/>
        </w:rPr>
        <w:t> </w:t>
      </w:r>
      <w:r>
        <w:rPr>
          <w:color w:val="6E6158"/>
        </w:rPr>
        <w:t>Rules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Evidence,</w:t>
      </w:r>
      <w:r>
        <w:rPr>
          <w:color w:val="6E6158"/>
          <w:spacing w:val="29"/>
        </w:rPr>
        <w:t> </w:t>
      </w:r>
      <w:r>
        <w:rPr>
          <w:color w:val="6E6158"/>
        </w:rPr>
        <w:t>Civil</w:t>
      </w:r>
      <w:r>
        <w:rPr>
          <w:color w:val="6E6158"/>
          <w:spacing w:val="29"/>
        </w:rPr>
        <w:t> </w:t>
      </w:r>
      <w:r>
        <w:rPr>
          <w:color w:val="6E6158"/>
        </w:rPr>
        <w:t>Justice</w:t>
      </w:r>
      <w:r>
        <w:rPr>
          <w:color w:val="6E6158"/>
          <w:spacing w:val="29"/>
        </w:rPr>
        <w:t> </w:t>
      </w:r>
      <w:r>
        <w:rPr>
          <w:color w:val="6E6158"/>
        </w:rPr>
        <w:t>Reform</w:t>
      </w:r>
    </w:p>
    <w:p>
      <w:pPr>
        <w:pStyle w:val="BodyText"/>
        <w:spacing w:line="292" w:lineRule="auto" w:before="5"/>
        <w:ind w:left="104" w:right="412"/>
      </w:pPr>
      <w:r>
        <w:rPr>
          <w:color w:val="6E6158"/>
        </w:rPr>
        <w:t>Committee, and Business Court Advisory Committee, which developed Arizona’s </w:t>
      </w:r>
      <w:r>
        <w:rPr>
          <w:color w:val="6E6158"/>
        </w:rPr>
        <w:t>Commercial</w:t>
      </w:r>
      <w:r>
        <w:rPr>
          <w:color w:val="6E6158"/>
          <w:spacing w:val="40"/>
        </w:rPr>
        <w:t> </w:t>
      </w:r>
      <w:r>
        <w:rPr>
          <w:color w:val="6E6158"/>
        </w:rPr>
        <w:t>Court. His involvement in these initiatives has provided Bill with a deep understanding of civil</w:t>
      </w:r>
      <w:r>
        <w:rPr>
          <w:color w:val="6E6158"/>
          <w:spacing w:val="40"/>
        </w:rPr>
        <w:t> </w:t>
      </w:r>
      <w:r>
        <w:rPr>
          <w:color w:val="6E6158"/>
        </w:rPr>
        <w:t>procedure and processes which he brings to bear for his clients in their matters.</w:t>
      </w:r>
    </w:p>
    <w:p>
      <w:pPr>
        <w:pStyle w:val="BodyText"/>
        <w:spacing w:line="295" w:lineRule="auto" w:before="197"/>
        <w:ind w:left="104" w:right="289"/>
      </w:pPr>
      <w:r>
        <w:rPr>
          <w:color w:val="6E6158"/>
        </w:rPr>
        <w:t>With Bill Klain as your attorney, you gain a trusted legal partner who combines a wealth of</w:t>
      </w:r>
      <w:r>
        <w:rPr>
          <w:color w:val="6E6158"/>
          <w:spacing w:val="40"/>
        </w:rPr>
        <w:t> </w:t>
      </w:r>
      <w:r>
        <w:rPr>
          <w:color w:val="6E6158"/>
        </w:rPr>
        <w:t>experience with a tireless devotion to his clients. Whether you are facing complex litigation or</w:t>
      </w:r>
      <w:r>
        <w:rPr>
          <w:color w:val="6E6158"/>
          <w:spacing w:val="40"/>
        </w:rPr>
        <w:t> </w:t>
      </w:r>
      <w:r>
        <w:rPr>
          <w:color w:val="6E6158"/>
        </w:rPr>
        <w:t>require legal guidance in your business endeavors, Bill is an advocate and counselor you </w:t>
      </w:r>
      <w:r>
        <w:rPr>
          <w:color w:val="6E6158"/>
        </w:rPr>
        <w:t>can</w:t>
      </w:r>
      <w:r>
        <w:rPr>
          <w:color w:val="6E6158"/>
          <w:spacing w:val="40"/>
        </w:rPr>
        <w:t> </w:t>
      </w:r>
      <w:r>
        <w:rPr>
          <w:color w:val="6E6158"/>
        </w:rPr>
        <w:t>depend</w:t>
      </w:r>
      <w:r>
        <w:rPr>
          <w:color w:val="6E6158"/>
          <w:spacing w:val="25"/>
        </w:rPr>
        <w:t> </w:t>
      </w:r>
      <w:r>
        <w:rPr>
          <w:color w:val="6E6158"/>
        </w:rPr>
        <w:t>on</w:t>
      </w:r>
      <w:r>
        <w:rPr>
          <w:color w:val="6E6158"/>
          <w:spacing w:val="25"/>
        </w:rPr>
        <w:t> </w:t>
      </w:r>
      <w:r>
        <w:rPr>
          <w:color w:val="6E6158"/>
        </w:rPr>
        <w:t>to</w:t>
      </w:r>
      <w:r>
        <w:rPr>
          <w:color w:val="6E6158"/>
          <w:spacing w:val="25"/>
        </w:rPr>
        <w:t> </w:t>
      </w:r>
      <w:r>
        <w:rPr>
          <w:color w:val="6E6158"/>
        </w:rPr>
        <w:t>protect</w:t>
      </w:r>
      <w:r>
        <w:rPr>
          <w:color w:val="6E6158"/>
          <w:spacing w:val="25"/>
        </w:rPr>
        <w:t> </w:t>
      </w:r>
      <w:r>
        <w:rPr>
          <w:color w:val="6E6158"/>
        </w:rPr>
        <w:t>your</w:t>
      </w:r>
      <w:r>
        <w:rPr>
          <w:color w:val="6E6158"/>
          <w:spacing w:val="25"/>
        </w:rPr>
        <w:t> </w:t>
      </w:r>
      <w:r>
        <w:rPr>
          <w:color w:val="6E6158"/>
        </w:rPr>
        <w:t>interests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guide</w:t>
      </w:r>
      <w:r>
        <w:rPr>
          <w:color w:val="6E6158"/>
          <w:spacing w:val="25"/>
        </w:rPr>
        <w:t> </w:t>
      </w:r>
      <w:r>
        <w:rPr>
          <w:color w:val="6E6158"/>
        </w:rPr>
        <w:t>you</w:t>
      </w:r>
      <w:r>
        <w:rPr>
          <w:color w:val="6E6158"/>
          <w:spacing w:val="25"/>
        </w:rPr>
        <w:t> </w:t>
      </w:r>
      <w:r>
        <w:rPr>
          <w:color w:val="6E6158"/>
        </w:rPr>
        <w:t>through</w:t>
      </w:r>
      <w:r>
        <w:rPr>
          <w:color w:val="6E6158"/>
          <w:spacing w:val="25"/>
        </w:rPr>
        <w:t> </w:t>
      </w:r>
      <w:r>
        <w:rPr>
          <w:color w:val="6E6158"/>
        </w:rPr>
        <w:t>every</w:t>
      </w:r>
      <w:r>
        <w:rPr>
          <w:color w:val="6E6158"/>
          <w:spacing w:val="25"/>
        </w:rPr>
        <w:t> </w:t>
      </w:r>
      <w:r>
        <w:rPr>
          <w:color w:val="6E6158"/>
        </w:rPr>
        <w:t>step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legal</w:t>
      </w:r>
      <w:r>
        <w:rPr>
          <w:color w:val="6E6158"/>
          <w:spacing w:val="25"/>
        </w:rPr>
        <w:t> </w:t>
      </w:r>
      <w:r>
        <w:rPr>
          <w:color w:val="6E6158"/>
        </w:rPr>
        <w:t>process.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157652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357pt;width:1.65pt;height:1.65pt;mso-position-horizontal-relative:page;mso-position-vertical-relative:paragraph;z-index:15729152" id="docshape11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Denver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175382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9608pt;width:1.65pt;height:1.65pt;mso-position-horizontal-relative:page;mso-position-vertical-relative:paragraph;z-index:15729664" id="docshape1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0"/>
        </w:rPr>
        <w:t> </w:t>
      </w:r>
      <w:r>
        <w:rPr>
          <w:color w:val="6E6158"/>
        </w:rPr>
        <w:t>University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Richmond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2"/>
        <w:ind w:left="0"/>
        <w:rPr>
          <w:b/>
        </w:rPr>
      </w:pPr>
    </w:p>
    <w:p>
      <w:pPr>
        <w:pStyle w:val="BodyText"/>
        <w:spacing w:line="420" w:lineRule="auto"/>
        <w:ind w:right="5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59400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77222pt;width:1.65pt;height:1.65pt;mso-position-horizontal-relative:page;mso-position-vertical-relative:paragraph;z-index:15730176" id="docshape13" coordorigin="1675,94" coordsize="33,33" path="m1696,126l1687,126,1683,125,1676,118,1675,114,1675,105,1676,101,1683,95,1687,94,1696,94,1699,95,1706,101,1707,105,1707,110,1707,114,1706,118,1699,125,1696,1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322933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27847pt;width:1.65pt;height:1.65pt;mso-position-horizontal-relative:page;mso-position-vertical-relative:paragraph;z-index:15730688" id="docshape14" coordorigin="1675,509" coordsize="33,33" path="m1696,541l1687,541,1683,540,1676,533,1675,529,1675,520,1676,517,1683,510,1687,509,1696,509,1699,510,1706,517,1707,520,1707,525,1707,529,1706,533,1699,540,1696,5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divorces and </w:t>
      </w:r>
      <w:r>
        <w:rPr>
          <w:color w:val="6E6158"/>
        </w:rPr>
        <w:t>dissolutions Fiduciary breaches</w:t>
      </w:r>
    </w:p>
    <w:p>
      <w:pPr>
        <w:pStyle w:val="BodyText"/>
        <w:spacing w:line="420" w:lineRule="auto"/>
        <w:ind w:right="75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63558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4629pt;width:1.65pt;height:1.65pt;mso-position-horizontal-relative:page;mso-position-vertical-relative:paragraph;z-index:15731200" id="docshape15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321924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8377pt;width:1.65pt;height:1.65pt;mso-position-horizontal-relative:page;mso-position-vertical-relative:paragraph;z-index:15731712" id="docshape16" coordorigin="1675,507" coordsize="33,33" path="m1696,540l1687,540,1683,538,1676,532,1675,528,1675,519,1676,515,1683,509,1687,507,1696,507,1699,509,1706,515,1707,519,1707,523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torts Sales </w:t>
      </w:r>
      <w:r>
        <w:rPr>
          <w:color w:val="6E6158"/>
        </w:rPr>
        <w:t>contracts</w:t>
      </w:r>
    </w:p>
    <w:p>
      <w:pPr>
        <w:pStyle w:val="BodyText"/>
        <w:spacing w:line="420" w:lineRule="auto" w:before="5"/>
        <w:ind w:right="67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62549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25159pt;width:1.65pt;height:1.65pt;mso-position-horizontal-relative:page;mso-position-vertical-relative:paragraph;z-index:15732224" id="docshape17" coordorigin="1675,99" coordsize="33,33" path="m1696,131l1687,131,1683,129,1676,123,1675,119,1675,110,1676,106,1683,100,1687,99,1696,99,1699,100,1706,106,1707,110,1707,115,1707,119,1706,123,1699,129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326082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675781pt;width:1.65pt;height:1.65pt;mso-position-horizontal-relative:page;mso-position-vertical-relative:paragraph;z-index:15732736" id="docshape18" coordorigin="1675,514" coordsize="33,33" path="m1696,546l1687,546,1683,544,1676,538,1675,534,1675,525,1676,521,1683,515,1687,514,1696,514,1699,515,1706,521,1707,525,1707,530,1707,534,1706,538,1699,544,1696,5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Buy-Sell </w:t>
      </w:r>
      <w:r>
        <w:rPr>
          <w:color w:val="6E6158"/>
        </w:rPr>
        <w:t>agreements Civil appeals</w:t>
      </w:r>
    </w:p>
    <w:p>
      <w:pPr>
        <w:pStyle w:val="BodyText"/>
        <w:spacing w:line="427" w:lineRule="auto"/>
        <w:ind w:right="25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63532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2564pt;width:1.65pt;height:1.65pt;mso-position-horizontal-relative:page;mso-position-vertical-relative:paragraph;z-index:15733248" id="docshape19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321898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6312pt;width:1.65pt;height:1.65pt;mso-position-horizontal-relative:page;mso-position-vertical-relative:paragraph;z-index:15733760" id="docshape20" coordorigin="1675,507" coordsize="33,33" path="m1696,539l1687,539,1683,538,1676,532,1675,528,1675,519,1676,515,1683,509,1687,507,1696,507,1699,509,1706,515,1707,519,1707,523,1707,528,1706,532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Non-compete, non-solicitation, and non-disclosure </w:t>
      </w:r>
      <w:r>
        <w:rPr>
          <w:color w:val="6E6158"/>
        </w:rPr>
        <w:t>agreements Various other commercial disputes</w:t>
      </w:r>
    </w:p>
    <w:p>
      <w:pPr>
        <w:pStyle w:val="BodyText"/>
        <w:spacing w:line="420" w:lineRule="auto"/>
        <w:ind w:right="75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53647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24233pt;width:1.65pt;height:1.65pt;mso-position-horizontal-relative:page;mso-position-vertical-relative:paragraph;z-index:15734272" id="docshape21" coordorigin="1675,84" coordsize="33,33" path="m1696,117l1687,117,1683,115,1676,109,1675,105,1675,96,1676,92,1683,86,1687,84,1696,84,1699,86,1706,92,1707,96,1707,101,1707,105,1706,109,1699,115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317180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74857pt;width:1.65pt;height:1.65pt;mso-position-horizontal-relative:page;mso-position-vertical-relative:paragraph;z-index:15734784" id="docshape22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575546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318604pt;width:1.65pt;height:1.65pt;mso-position-horizontal-relative:page;mso-position-vertical-relative:paragraph;z-index:15735296" id="docshape23" coordorigin="1675,906" coordsize="33,33" path="m1696,939l1687,939,1683,937,1676,931,1675,927,1675,918,1676,914,1683,908,1687,906,1696,906,1699,908,1706,914,1707,918,1707,923,1707,927,1706,931,1699,937,1696,9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Receiverships Injunctions </w:t>
      </w:r>
      <w:r>
        <w:rPr>
          <w:color w:val="6E6158"/>
        </w:rPr>
        <w:t>Trade Secrets</w:t>
      </w:r>
    </w:p>
    <w:p>
      <w:pPr>
        <w:pStyle w:val="BodyText"/>
        <w:spacing w:line="420" w:lineRule="auto"/>
        <w:ind w:right="54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57301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11904pt;width:1.65pt;height:1.65pt;mso-position-horizontal-relative:page;mso-position-vertical-relative:paragraph;z-index:15735808" id="docshape24" coordorigin="1675,90" coordsize="33,33" path="m1696,123l1687,123,1683,121,1676,115,1675,111,1675,102,1676,98,1683,92,1687,90,1696,90,1699,92,1706,98,1707,102,1707,107,1707,111,1706,115,1699,121,1696,1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315666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855652pt;width:1.65pt;height:1.65pt;mso-position-horizontal-relative:page;mso-position-vertical-relative:paragraph;z-index:15736320" id="docshape25" coordorigin="1675,497" coordsize="33,33" path="m1696,530l1687,530,1683,528,1676,522,1675,518,1675,509,1676,505,1683,499,1687,497,1696,497,1699,499,1706,505,1707,509,1707,513,1707,518,1706,522,1699,528,1696,5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Failed commercial </w:t>
      </w:r>
      <w:r>
        <w:rPr>
          <w:color w:val="6E6158"/>
        </w:rPr>
        <w:t>transactions Business Litigation</w:t>
      </w:r>
    </w:p>
    <w:p>
      <w:pPr>
        <w:pStyle w:val="Heading1"/>
        <w:spacing w:before="156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0" w:lineRule="auto" w:before="147"/>
        <w:ind w:right="11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157926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5166pt;width:1.65pt;height:1.65pt;mso-position-horizontal-relative:page;mso-position-vertical-relative:paragraph;z-index:15736832" id="docshape26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416292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8904pt;width:1.65pt;height:1.65pt;mso-position-horizontal-relative:page;mso-position-vertical-relative:paragraph;z-index:15737344" id="docshape27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 Lawyers in America®, Lawyer of the Year, Bet-the-Company Litigation, </w:t>
      </w:r>
      <w:r>
        <w:rPr>
          <w:color w:val="6E6158"/>
        </w:rPr>
        <w:t>2025 Super Lawyers: “Top 50 Arizona,” 2018, 2022-24; Business Litigation, 2012-2024</w:t>
      </w:r>
    </w:p>
    <w:p>
      <w:pPr>
        <w:pStyle w:val="BodyText"/>
        <w:spacing w:line="420" w:lineRule="auto" w:before="6"/>
        <w:ind w:right="2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63572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05703pt;width:1.65pt;height:1.65pt;mso-position-horizontal-relative:page;mso-position-vertical-relative:paragraph;z-index:15737856" id="docshape28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327105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756319pt;width:1.65pt;height:1.65pt;mso-position-horizontal-relative:page;mso-position-vertical-relative:paragraph;z-index:15738368" id="docshape29" coordorigin="1675,515" coordsize="33,33" path="m1696,548l1687,548,1683,546,1676,540,1675,536,1675,527,1676,523,1683,517,1687,515,1696,515,1699,517,1706,523,1707,527,1707,531,1707,536,1706,540,1699,546,1696,5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The Best Lawyers in America®, Commercial Litigation, Bet-the-Company Litigation, 2015-</w:t>
      </w:r>
      <w:r>
        <w:rPr>
          <w:color w:val="6E6158"/>
        </w:rPr>
        <w:t>2025</w:t>
      </w:r>
      <w:r>
        <w:rPr>
          <w:color w:val="6E6158"/>
          <w:spacing w:val="40"/>
        </w:rPr>
        <w:t> </w:t>
      </w:r>
      <w:r>
        <w:rPr>
          <w:color w:val="6E6158"/>
        </w:rPr>
        <w:t>AV-Preeminent® Rating, Martindale-Hubbell®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63920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3094pt;width:1.65pt;height:1.65pt;mso-position-horizontal-relative:page;mso-position-vertical-relative:paragraph;z-index:15738880" id="docshape30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“Top</w:t>
      </w:r>
      <w:r>
        <w:rPr>
          <w:color w:val="6E6158"/>
          <w:spacing w:val="8"/>
        </w:rPr>
        <w:t> </w:t>
      </w:r>
      <w:r>
        <w:rPr>
          <w:color w:val="6E6158"/>
        </w:rPr>
        <w:t>100</w:t>
      </w:r>
      <w:r>
        <w:rPr>
          <w:color w:val="6E6158"/>
          <w:spacing w:val="9"/>
        </w:rPr>
        <w:t> </w:t>
      </w:r>
      <w:r>
        <w:rPr>
          <w:color w:val="6E6158"/>
        </w:rPr>
        <w:t>Lawyers</w:t>
      </w:r>
      <w:r>
        <w:rPr>
          <w:color w:val="6E6158"/>
          <w:spacing w:val="9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Arizona</w:t>
      </w:r>
      <w:r>
        <w:rPr>
          <w:color w:val="6E6158"/>
          <w:spacing w:val="9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2025,”</w:t>
      </w:r>
      <w:r>
        <w:rPr>
          <w:color w:val="6E6158"/>
          <w:spacing w:val="9"/>
        </w:rPr>
        <w:t> </w:t>
      </w:r>
      <w:r>
        <w:rPr>
          <w:color w:val="6E6158"/>
        </w:rPr>
        <w:t>AZ</w:t>
      </w:r>
      <w:r>
        <w:rPr>
          <w:color w:val="6E6158"/>
          <w:spacing w:val="9"/>
        </w:rPr>
        <w:t> </w: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Magazine</w:t>
      </w:r>
    </w:p>
    <w:p>
      <w:pPr>
        <w:pStyle w:val="BodyText"/>
        <w:spacing w:line="292" w:lineRule="auto" w:before="182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268381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2368pt;width:1.65pt;height:1.65pt;mso-position-horizontal-relative:page;mso-position-vertical-relative:paragraph;z-index:15739392" id="docshape31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“Top 100 Lawyers in Arizona for 2023” (Complex Corporate and Commercial Litigation), </w:t>
      </w:r>
      <w:r>
        <w:rPr>
          <w:color w:val="6E6158"/>
        </w:rPr>
        <w:t>AZ Business Magazine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143249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9454pt;width:1.65pt;height:1.65pt;mso-position-horizontal-relative:page;mso-position-vertical-relative:paragraph;z-index:15739904" id="docshape32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“Top</w:t>
      </w:r>
      <w:r>
        <w:rPr>
          <w:color w:val="6E6158"/>
          <w:spacing w:val="8"/>
        </w:rPr>
        <w:t> </w:t>
      </w:r>
      <w:r>
        <w:rPr>
          <w:color w:val="6E6158"/>
        </w:rPr>
        <w:t>Lawyer,”</w:t>
      </w:r>
      <w:r>
        <w:rPr>
          <w:color w:val="6E6158"/>
          <w:spacing w:val="8"/>
        </w:rPr>
        <w:t> </w:t>
      </w:r>
      <w:r>
        <w:rPr>
          <w:color w:val="6E6158"/>
        </w:rPr>
        <w:t>Phoenix</w:t>
      </w:r>
      <w:r>
        <w:rPr>
          <w:color w:val="6E6158"/>
          <w:spacing w:val="9"/>
        </w:rPr>
        <w:t> </w:t>
      </w:r>
      <w:r>
        <w:rPr>
          <w:color w:val="6E6158"/>
        </w:rPr>
        <w:t>Magazine,</w:t>
      </w:r>
      <w:r>
        <w:rPr>
          <w:color w:val="6E6158"/>
          <w:spacing w:val="8"/>
        </w:rPr>
        <w:t> </w:t>
      </w:r>
      <w:r>
        <w:rPr>
          <w:color w:val="6E6158"/>
        </w:rPr>
        <w:t>2022,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174949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5517pt;width:1.65pt;height:1.65pt;mso-position-horizontal-relative:page;mso-position-vertical-relative:paragraph;z-index:15740416" id="docshape33" coordorigin="1675,276" coordsize="33,33" path="m1696,308l1687,308,1683,306,1676,300,1675,296,1675,287,1676,283,1683,277,1687,276,1696,276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“Top</w:t>
      </w:r>
      <w:r>
        <w:rPr>
          <w:color w:val="6E6158"/>
          <w:spacing w:val="10"/>
        </w:rPr>
        <w:t> </w:t>
      </w:r>
      <w:r>
        <w:rPr>
          <w:color w:val="6E6158"/>
        </w:rPr>
        <w:t>100</w:t>
      </w:r>
      <w:r>
        <w:rPr>
          <w:color w:val="6E6158"/>
          <w:spacing w:val="11"/>
        </w:rPr>
        <w:t> </w:t>
      </w:r>
      <w:r>
        <w:rPr>
          <w:color w:val="6E6158"/>
        </w:rPr>
        <w:t>Lawyers</w:t>
      </w:r>
      <w:r>
        <w:rPr>
          <w:color w:val="6E6158"/>
          <w:spacing w:val="11"/>
        </w:rPr>
        <w:t> </w:t>
      </w:r>
      <w:r>
        <w:rPr>
          <w:color w:val="6E6158"/>
        </w:rPr>
        <w:t>in</w:t>
      </w:r>
      <w:r>
        <w:rPr>
          <w:color w:val="6E6158"/>
          <w:spacing w:val="10"/>
        </w:rPr>
        <w:t> </w:t>
      </w:r>
      <w:r>
        <w:rPr>
          <w:color w:val="6E6158"/>
        </w:rPr>
        <w:t>Arizona,”</w:t>
      </w:r>
      <w:r>
        <w:rPr>
          <w:color w:val="6E6158"/>
          <w:spacing w:val="11"/>
        </w:rPr>
        <w:t> </w:t>
      </w:r>
      <w:r>
        <w:rPr>
          <w:color w:val="6E6158"/>
        </w:rPr>
        <w:t>AZ</w:t>
      </w:r>
      <w:r>
        <w:rPr>
          <w:color w:val="6E6158"/>
          <w:spacing w:val="11"/>
        </w:rPr>
        <w:t> </w:t>
      </w:r>
      <w:r>
        <w:rPr>
          <w:color w:val="6E6158"/>
        </w:rPr>
        <w:t>Business</w:t>
      </w:r>
      <w:r>
        <w:rPr>
          <w:color w:val="6E6158"/>
          <w:spacing w:val="11"/>
        </w:rPr>
        <w:t> </w:t>
      </w:r>
      <w:r>
        <w:rPr>
          <w:color w:val="6E6158"/>
        </w:rPr>
        <w:t>Magazine,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2019</w:t>
      </w:r>
    </w:p>
    <w:p>
      <w:pPr>
        <w:pStyle w:val="BodyText"/>
        <w:spacing w:line="420" w:lineRule="auto" w:before="182"/>
        <w:ind w:right="16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174898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1554pt;width:1.65pt;height:1.65pt;mso-position-horizontal-relative:page;mso-position-vertical-relative:paragraph;z-index:15740928" id="docshape34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433264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5299pt;width:1.65pt;height:1.65pt;mso-position-horizontal-relative:page;mso-position-vertical-relative:paragraph;z-index:15741440" id="docshape35" coordorigin="1675,682" coordsize="33,33" path="m1696,715l1687,715,1683,713,1676,707,1675,703,1675,694,1676,690,1683,684,1687,682,1696,682,1699,684,1706,690,1707,694,1707,699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Chief Justice’s Outstanding Contribution to the Arizona Courts Award, </w:t>
      </w:r>
      <w:r>
        <w:rPr>
          <w:color w:val="6E6158"/>
        </w:rPr>
        <w:t>2016 State Bar of Arizona “Volunteer of the Month,” April 2016</w:t>
      </w:r>
    </w:p>
    <w:p>
      <w:pPr>
        <w:pStyle w:val="BodyText"/>
        <w:spacing w:line="420" w:lineRule="auto"/>
        <w:ind w:right="31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63486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8945pt;width:1.65pt;height:1.65pt;mso-position-horizontal-relative:page;mso-position-vertical-relative:paragraph;z-index:15741952" id="docshape36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321852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42712pt;width:1.65pt;height:1.65pt;mso-position-horizontal-relative:page;mso-position-vertical-relative:paragraph;z-index:15742464" id="docshape37" coordorigin="1675,507" coordsize="33,33" path="m1696,539l1687,539,1683,538,1676,531,1675,528,1675,519,1676,515,1683,508,1687,507,1696,507,1699,508,1706,515,1707,519,1707,523,1707,528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Arizona’s Finest Lawyers (Sustaining Member), 2014-</w:t>
      </w:r>
      <w:r>
        <w:rPr>
          <w:color w:val="6E6158"/>
        </w:rPr>
        <w:t>present State Bar of Arizona “Member of the Year,” 2013</w:t>
      </w:r>
    </w:p>
    <w:p>
      <w:pPr>
        <w:pStyle w:val="BodyText"/>
        <w:spacing w:before="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62477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19487pt;width:1.65pt;height:1.65pt;mso-position-horizontal-relative:page;mso-position-vertical-relative:paragraph;z-index:15742976" id="docshape38" coordorigin="1675,98" coordsize="33,33" path="m1696,131l1687,131,1683,129,1676,123,1675,119,1675,110,1676,106,1683,100,1687,98,1696,98,1699,100,1706,106,1707,110,1707,115,1707,119,1706,123,1699,129,1696,1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Award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Excellence,</w:t>
      </w:r>
      <w:r>
        <w:rPr>
          <w:color w:val="6E6158"/>
          <w:spacing w:val="12"/>
        </w:rPr>
        <w:t> </w:t>
      </w:r>
      <w:r>
        <w:rPr>
          <w:color w:val="6E6158"/>
        </w:rPr>
        <w:t>Scottsdale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2"/>
        </w:rPr>
        <w:t> </w:t>
      </w:r>
      <w:r>
        <w:rPr>
          <w:color w:val="6E6158"/>
        </w:rPr>
        <w:t>Association,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2012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174909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2397pt;width:1.65pt;height:1.65pt;mso-position-horizontal-relative:page;mso-position-vertical-relative:paragraph;z-index:15743488" id="docshape39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State</w:t>
      </w:r>
      <w:r>
        <w:rPr>
          <w:color w:val="6E6158"/>
          <w:spacing w:val="11"/>
        </w:rPr>
        <w:t> </w:t>
      </w:r>
      <w:r>
        <w:rPr>
          <w:color w:val="6E6158"/>
        </w:rPr>
        <w:t>Bar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Arizona:</w:t>
      </w:r>
      <w:r>
        <w:rPr>
          <w:color w:val="6E6158"/>
          <w:spacing w:val="12"/>
        </w:rPr>
        <w:t> </w:t>
      </w:r>
      <w:r>
        <w:rPr>
          <w:color w:val="6E6158"/>
        </w:rPr>
        <w:t>President’s</w:t>
      </w:r>
      <w:r>
        <w:rPr>
          <w:color w:val="6E6158"/>
          <w:spacing w:val="11"/>
        </w:rPr>
        <w:t> </w:t>
      </w:r>
      <w:r>
        <w:rPr>
          <w:color w:val="6E6158"/>
        </w:rPr>
        <w:t>Award</w:t>
      </w:r>
      <w:r>
        <w:rPr>
          <w:color w:val="6E6158"/>
          <w:spacing w:val="12"/>
        </w:rPr>
        <w:t> </w:t>
      </w:r>
      <w:r>
        <w:rPr>
          <w:color w:val="6E6158"/>
        </w:rPr>
        <w:t>(Contributions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Civil</w:t>
      </w:r>
      <w:r>
        <w:rPr>
          <w:color w:val="6E6158"/>
          <w:spacing w:val="12"/>
        </w:rPr>
        <w:t> </w:t>
      </w:r>
      <w:r>
        <w:rPr>
          <w:color w:val="6E6158"/>
        </w:rPr>
        <w:t>Practice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Procedure),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2008</w:t>
      </w:r>
    </w:p>
    <w:p>
      <w:pPr>
        <w:pStyle w:val="BodyText"/>
        <w:spacing w:before="40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158133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1421pt;width:1.65pt;height:1.65pt;mso-position-horizontal-relative:page;mso-position-vertical-relative:paragraph;z-index:15744000" id="docshape40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</w:t>
      </w:r>
      <w:r>
        <w:rPr>
          <w:color w:val="6E6158"/>
          <w:spacing w:val="12"/>
        </w:rPr>
        <w:t> </w:t>
      </w:r>
      <w:r>
        <w:rPr>
          <w:color w:val="6E6158"/>
        </w:rPr>
        <w:t>2025</w:t>
      </w:r>
      <w:r>
        <w:rPr>
          <w:color w:val="6E6158"/>
          <w:spacing w:val="12"/>
        </w:rPr>
        <w:t> </w:t>
      </w:r>
      <w:r>
        <w:rPr>
          <w:color w:val="6E6158"/>
        </w:rPr>
        <w:t>Civil</w:t>
      </w:r>
      <w:r>
        <w:rPr>
          <w:color w:val="6E6158"/>
          <w:spacing w:val="12"/>
        </w:rPr>
        <w:t> </w:t>
      </w:r>
      <w:r>
        <w:rPr>
          <w:color w:val="6E6158"/>
        </w:rPr>
        <w:t>Procedure</w:t>
      </w:r>
      <w:r>
        <w:rPr>
          <w:color w:val="6E6158"/>
          <w:spacing w:val="12"/>
        </w:rPr>
        <w:t> </w:t>
      </w:r>
      <w:r>
        <w:rPr>
          <w:color w:val="6E6158"/>
        </w:rPr>
        <w:t>Update,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Arizona,</w:t>
      </w:r>
      <w:r>
        <w:rPr>
          <w:color w:val="6E6158"/>
          <w:spacing w:val="12"/>
        </w:rPr>
        <w:t> </w:t>
      </w:r>
      <w:r>
        <w:rPr>
          <w:color w:val="6E6158"/>
        </w:rPr>
        <w:t>January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2025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175227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7459pt;width:1.65pt;height:1.65pt;mso-position-horizontal-relative:page;mso-position-vertical-relative:paragraph;z-index:15744512" id="docshape41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Panelist,</w:t>
      </w:r>
      <w:r>
        <w:rPr>
          <w:color w:val="6E6158"/>
          <w:spacing w:val="13"/>
        </w:rPr>
        <w:t> </w:t>
      </w:r>
      <w:r>
        <w:rPr>
          <w:color w:val="6E6158"/>
        </w:rPr>
        <w:t>2024</w:t>
      </w:r>
      <w:r>
        <w:rPr>
          <w:color w:val="6E6158"/>
          <w:spacing w:val="13"/>
        </w:rPr>
        <w:t> </w:t>
      </w:r>
      <w:r>
        <w:rPr>
          <w:color w:val="6E6158"/>
        </w:rPr>
        <w:t>Civil</w:t>
      </w:r>
      <w:r>
        <w:rPr>
          <w:color w:val="6E6158"/>
          <w:spacing w:val="13"/>
        </w:rPr>
        <w:t> </w:t>
      </w:r>
      <w:r>
        <w:rPr>
          <w:color w:val="6E6158"/>
        </w:rPr>
        <w:t>Practice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Procedure</w:t>
      </w:r>
      <w:r>
        <w:rPr>
          <w:color w:val="6E6158"/>
          <w:spacing w:val="13"/>
        </w:rPr>
        <w:t> </w:t>
      </w:r>
      <w:r>
        <w:rPr>
          <w:color w:val="6E6158"/>
        </w:rPr>
        <w:t>Symposium,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Arizona,</w:t>
      </w:r>
      <w:r>
        <w:rPr>
          <w:color w:val="6E6158"/>
          <w:spacing w:val="13"/>
        </w:rPr>
        <w:t> </w:t>
      </w:r>
      <w:r>
        <w:rPr>
          <w:color w:val="6E6158"/>
        </w:rPr>
        <w:t>November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after="0"/>
        <w:sectPr>
          <w:pgSz w:w="12240" w:h="15840"/>
          <w:pgMar w:top="580" w:bottom="280" w:left="1440" w:right="1440"/>
        </w:sectPr>
      </w:pPr>
    </w:p>
    <w:p>
      <w:pPr>
        <w:pStyle w:val="BodyText"/>
        <w:spacing w:line="292" w:lineRule="auto" w:before="88"/>
        <w:ind w:right="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46048" id="docshape42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</w:t>
      </w:r>
      <w:hyperlink r:id="rId11">
        <w:r>
          <w:rPr>
            <w:color w:val="F5821F"/>
          </w:rPr>
          <w:t>Seven Significant Differences Between Arizona and Federal Civil Procedure in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2024</w:t>
        </w:r>
      </w:hyperlink>
      <w:r>
        <w:rPr>
          <w:color w:val="6E6158"/>
        </w:rPr>
        <w:t>,” Fennemore Blog, June 20, 2024</w:t>
      </w:r>
    </w:p>
    <w:p>
      <w:pPr>
        <w:pStyle w:val="BodyText"/>
        <w:spacing w:line="292" w:lineRule="auto" w:before="132"/>
        <w:ind w:right="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236190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683pt;width:1.65pt;height:1.65pt;mso-position-horizontal-relative:page;mso-position-vertical-relative:paragraph;z-index:15746560" id="docshape43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“Meet the New Rules, (Not the) Same as the Old Rules ,” Arizona Attorney (State Bar of</w:t>
      </w:r>
      <w:r>
        <w:rPr>
          <w:color w:val="6E6158"/>
          <w:spacing w:val="40"/>
        </w:rPr>
        <w:t> </w:t>
      </w:r>
      <w:r>
        <w:rPr>
          <w:color w:val="6E6158"/>
        </w:rPr>
        <w:t>Arizona), December 2016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142808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4781pt;width:1.65pt;height:1.65pt;mso-position-horizontal-relative:page;mso-position-vertical-relative:paragraph;z-index:15747072" id="docshape44" coordorigin="1675,225" coordsize="33,33" path="m1696,257l1687,257,1683,256,1676,250,1675,246,1675,237,1676,233,1683,226,1687,225,1696,225,1699,226,1706,233,1707,237,1707,241,1707,246,1706,250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“Employee</w:t>
      </w:r>
      <w:r>
        <w:rPr>
          <w:color w:val="6E6158"/>
          <w:spacing w:val="18"/>
        </w:rPr>
        <w:t> </w:t>
      </w:r>
      <w:r>
        <w:rPr>
          <w:color w:val="6E6158"/>
        </w:rPr>
        <w:t>Misuse</w:t>
      </w:r>
      <w:r>
        <w:rPr>
          <w:color w:val="6E6158"/>
          <w:spacing w:val="19"/>
        </w:rPr>
        <w:t> </w:t>
      </w:r>
      <w:r>
        <w:rPr>
          <w:color w:val="6E6158"/>
        </w:rPr>
        <w:t>of</w:t>
      </w:r>
      <w:r>
        <w:rPr>
          <w:color w:val="6E6158"/>
          <w:spacing w:val="19"/>
        </w:rPr>
        <w:t> </w:t>
      </w:r>
      <w:r>
        <w:rPr>
          <w:color w:val="6E6158"/>
        </w:rPr>
        <w:t>Confidential</w:t>
      </w:r>
      <w:r>
        <w:rPr>
          <w:color w:val="6E6158"/>
          <w:spacing w:val="19"/>
        </w:rPr>
        <w:t> </w:t>
      </w:r>
      <w:r>
        <w:rPr>
          <w:color w:val="6E6158"/>
        </w:rPr>
        <w:t>Information,”</w:t>
      </w:r>
      <w:r>
        <w:rPr>
          <w:color w:val="6E6158"/>
          <w:spacing w:val="19"/>
        </w:rPr>
        <w:t> </w:t>
      </w:r>
      <w:r>
        <w:rPr>
          <w:color w:val="6E6158"/>
        </w:rPr>
        <w:t>December</w:t>
      </w:r>
      <w:r>
        <w:rPr>
          <w:color w:val="6E6158"/>
          <w:spacing w:val="19"/>
        </w:rPr>
        <w:t> </w:t>
      </w:r>
      <w:r>
        <w:rPr>
          <w:color w:val="6E6158"/>
          <w:spacing w:val="-4"/>
        </w:rPr>
        <w:t>2014</w:t>
      </w:r>
    </w:p>
    <w:p>
      <w:pPr>
        <w:pStyle w:val="BodyText"/>
        <w:spacing w:line="302" w:lineRule="auto" w:before="174"/>
        <w:ind w:right="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268155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14574pt;width:1.65pt;height:1.65pt;mso-position-horizontal-relative:page;mso-position-vertical-relative:paragraph;z-index:15747584" id="docshape45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“A Long and Winding Road: How We Reached the 2014 Amendments,” Arizona Attorney</w:t>
      </w:r>
      <w:r>
        <w:rPr>
          <w:color w:val="6E6158"/>
          <w:spacing w:val="40"/>
        </w:rPr>
        <w:t> </w:t>
      </w:r>
      <w:r>
        <w:rPr>
          <w:color w:val="6E6158"/>
        </w:rPr>
        <w:t>(State Bar of Arizona), February 2014</w:t>
      </w:r>
    </w:p>
    <w:p>
      <w:pPr>
        <w:pStyle w:val="BodyText"/>
        <w:spacing w:line="292" w:lineRule="auto" w:before="113"/>
        <w:ind w:right="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224113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46730pt;width:1.65pt;height:1.65pt;mso-position-horizontal-relative:page;mso-position-vertical-relative:paragraph;z-index:15748096" id="docshape46" coordorigin="1675,353" coordsize="33,33" path="m1696,385l1687,385,1683,384,1676,378,1675,374,1675,365,1676,361,1683,355,1687,353,1696,353,1699,355,1706,361,1707,365,1707,369,1707,374,1706,378,1699,384,1696,38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“Fixing Holes Where the Rain Gets In: Seven Recent Arizona Civil Rule </w:t>
      </w:r>
      <w:r>
        <w:rPr>
          <w:color w:val="6E6158"/>
        </w:rPr>
        <w:t>Amendments Dissected,” Record Reporter, February 2014</w:t>
      </w:r>
    </w:p>
    <w:p>
      <w:pPr>
        <w:pStyle w:val="BodyText"/>
        <w:spacing w:line="427" w:lineRule="auto" w:before="123"/>
        <w:ind w:right="25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142796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3829pt;width:1.65pt;height:1.65pt;mso-position-horizontal-relative:page;mso-position-vertical-relative:paragraph;z-index:15748608" id="docshape47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401162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8758pt;width:1.65pt;height:1.65pt;mso-position-horizontal-relative:page;mso-position-vertical-relative:paragraph;z-index:15749120" id="docshape48" coordorigin="1675,632" coordsize="33,33" path="m1696,664l1687,664,1683,663,1676,656,1675,653,1675,644,1676,640,1683,633,1687,632,1696,632,1699,633,1706,640,1707,644,1707,648,1707,653,1706,656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“Restrictive Covenants in Employment Agreements,” January </w:t>
      </w:r>
      <w:r>
        <w:rPr>
          <w:color w:val="6E6158"/>
        </w:rPr>
        <w:t>2014 “Customer List: Not Necessarily a Trade Secret,” November 2013</w:t>
      </w:r>
    </w:p>
    <w:p>
      <w:pPr>
        <w:pStyle w:val="BodyText"/>
        <w:spacing w:line="226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59974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2374pt;width:1.65pt;height:1.65pt;mso-position-horizontal-relative:page;mso-position-vertical-relative:paragraph;z-index:15749632" id="docshape49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“Significant</w:t>
      </w:r>
      <w:r>
        <w:rPr>
          <w:color w:val="6E6158"/>
          <w:spacing w:val="15"/>
        </w:rPr>
        <w:t> </w:t>
      </w:r>
      <w:r>
        <w:rPr>
          <w:color w:val="6E6158"/>
        </w:rPr>
        <w:t>Differences</w:t>
      </w:r>
      <w:r>
        <w:rPr>
          <w:color w:val="6E6158"/>
          <w:spacing w:val="15"/>
        </w:rPr>
        <w:t> </w:t>
      </w:r>
      <w:r>
        <w:rPr>
          <w:color w:val="6E6158"/>
        </w:rPr>
        <w:t>Between</w:t>
      </w:r>
      <w:r>
        <w:rPr>
          <w:color w:val="6E6158"/>
          <w:spacing w:val="15"/>
        </w:rPr>
        <w:t> </w:t>
      </w:r>
      <w:r>
        <w:rPr>
          <w:color w:val="6E6158"/>
        </w:rPr>
        <w:t>Arizona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Federal</w:t>
      </w:r>
      <w:r>
        <w:rPr>
          <w:color w:val="6E6158"/>
          <w:spacing w:val="15"/>
        </w:rPr>
        <w:t> </w:t>
      </w:r>
      <w:r>
        <w:rPr>
          <w:color w:val="6E6158"/>
        </w:rPr>
        <w:t>Civil</w:t>
      </w:r>
      <w:r>
        <w:rPr>
          <w:color w:val="6E6158"/>
          <w:spacing w:val="15"/>
        </w:rPr>
        <w:t> </w:t>
      </w:r>
      <w:r>
        <w:rPr>
          <w:color w:val="6E6158"/>
        </w:rPr>
        <w:t>Procedure,”</w:t>
      </w:r>
      <w:r>
        <w:rPr>
          <w:color w:val="6E6158"/>
          <w:spacing w:val="15"/>
        </w:rPr>
        <w:t> </w:t>
      </w:r>
      <w:r>
        <w:rPr>
          <w:color w:val="6E6158"/>
        </w:rPr>
        <w:t>May</w:t>
      </w:r>
      <w:r>
        <w:rPr>
          <w:color w:val="6E6158"/>
          <w:spacing w:val="15"/>
        </w:rPr>
        <w:t> </w:t>
      </w:r>
      <w:r>
        <w:rPr>
          <w:color w:val="6E6158"/>
          <w:spacing w:val="-4"/>
        </w:rPr>
        <w:t>2013</w:t>
      </w:r>
    </w:p>
    <w:p>
      <w:pPr>
        <w:pStyle w:val="BodyText"/>
        <w:spacing w:before="174" w:after="7"/>
      </w:pPr>
      <w:r>
        <w:rPr>
          <w:color w:val="6E6158"/>
        </w:rPr>
        <w:t>“In</w:t>
      </w:r>
      <w:r>
        <w:rPr>
          <w:color w:val="6E6158"/>
          <w:spacing w:val="10"/>
        </w:rPr>
        <w:t> </w:t>
      </w:r>
      <w:r>
        <w:rPr>
          <w:color w:val="6E6158"/>
        </w:rPr>
        <w:t>a</w:t>
      </w:r>
      <w:r>
        <w:rPr>
          <w:color w:val="6E6158"/>
          <w:spacing w:val="11"/>
        </w:rPr>
        <w:t> </w:t>
      </w:r>
      <w:r>
        <w:rPr>
          <w:color w:val="6E6158"/>
        </w:rPr>
        <w:t>Lawsuit</w:t>
      </w:r>
      <w:r>
        <w:rPr>
          <w:color w:val="6E6158"/>
          <w:spacing w:val="10"/>
        </w:rPr>
        <w:t> </w:t>
      </w:r>
      <w:r>
        <w:rPr>
          <w:color w:val="6E6158"/>
        </w:rPr>
        <w:t>Arising</w:t>
      </w:r>
      <w:r>
        <w:rPr>
          <w:color w:val="6E6158"/>
          <w:spacing w:val="11"/>
        </w:rPr>
        <w:t> </w:t>
      </w:r>
      <w:r>
        <w:rPr>
          <w:color w:val="6E6158"/>
        </w:rPr>
        <w:t>from</w:t>
      </w:r>
      <w:r>
        <w:rPr>
          <w:color w:val="6E6158"/>
          <w:spacing w:val="11"/>
        </w:rPr>
        <w:t> </w:t>
      </w:r>
      <w:r>
        <w:rPr>
          <w:color w:val="6E6158"/>
        </w:rPr>
        <w:t>an</w:t>
      </w:r>
      <w:r>
        <w:rPr>
          <w:color w:val="6E6158"/>
          <w:spacing w:val="10"/>
        </w:rPr>
        <w:t> </w:t>
      </w:r>
      <w:r>
        <w:rPr>
          <w:color w:val="6E6158"/>
        </w:rPr>
        <w:t>Online</w:t>
      </w:r>
      <w:r>
        <w:rPr>
          <w:color w:val="6E6158"/>
          <w:spacing w:val="11"/>
        </w:rPr>
        <w:t> </w:t>
      </w:r>
      <w:r>
        <w:rPr>
          <w:color w:val="6E6158"/>
        </w:rPr>
        <w:t>Transaction,</w:t>
      </w:r>
      <w:r>
        <w:rPr>
          <w:color w:val="6E6158"/>
          <w:spacing w:val="10"/>
        </w:rPr>
        <w:t> </w:t>
      </w:r>
      <w:r>
        <w:rPr>
          <w:color w:val="6E6158"/>
        </w:rPr>
        <w:t>Where</w:t>
      </w:r>
      <w:r>
        <w:rPr>
          <w:color w:val="6E6158"/>
          <w:spacing w:val="11"/>
        </w:rPr>
        <w:t> </w:t>
      </w:r>
      <w:r>
        <w:rPr>
          <w:color w:val="6E6158"/>
        </w:rPr>
        <w:t>Should</w:t>
      </w:r>
      <w:r>
        <w:rPr>
          <w:color w:val="6E6158"/>
          <w:spacing w:val="11"/>
        </w:rPr>
        <w:t> </w:t>
      </w:r>
      <w:r>
        <w:rPr>
          <w:color w:val="6E6158"/>
        </w:rPr>
        <w:t>an</w:t>
      </w:r>
      <w:r>
        <w:rPr>
          <w:color w:val="6E6158"/>
          <w:spacing w:val="10"/>
        </w:rPr>
        <w:t> </w:t>
      </w:r>
      <w:r>
        <w:rPr>
          <w:color w:val="6E6158"/>
        </w:rPr>
        <w:t>Unhappy</w:t>
      </w:r>
      <w:r>
        <w:rPr>
          <w:color w:val="6E6158"/>
          <w:spacing w:val="11"/>
        </w:rPr>
        <w:t> </w:t>
      </w:r>
      <w:r>
        <w:rPr>
          <w:color w:val="6E6158"/>
        </w:rPr>
        <w:t>Buyer</w:t>
      </w:r>
      <w:r>
        <w:rPr>
          <w:color w:val="6E6158"/>
          <w:spacing w:val="10"/>
        </w:rPr>
        <w:t> </w:t>
      </w:r>
      <w:r>
        <w:rPr>
          <w:color w:val="6E6158"/>
        </w:rPr>
        <w:t>File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Suit?”</w:t>
      </w:r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50" coordorigin="0,0" coordsize="33,33">
                <v:shape style="position:absolute;left:0;top:0;width:33;height:33" id="docshape51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</w:pPr>
      <w:r>
        <w:rPr>
          <w:color w:val="6E6158"/>
        </w:rPr>
        <w:t>September</w:t>
      </w:r>
      <w:r>
        <w:rPr>
          <w:color w:val="6E6158"/>
          <w:spacing w:val="21"/>
        </w:rPr>
        <w:t> </w:t>
      </w:r>
      <w:r>
        <w:rPr>
          <w:color w:val="6E6158"/>
          <w:spacing w:val="-4"/>
        </w:rPr>
        <w:t>2010</w:t>
      </w:r>
    </w:p>
    <w:p>
      <w:pPr>
        <w:pStyle w:val="BodyText"/>
        <w:spacing w:line="292" w:lineRule="auto" w:before="182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267888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3544pt;width:1.65pt;height:1.65pt;mso-position-horizontal-relative:page;mso-position-vertical-relative:paragraph;z-index:15750144" id="docshape52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“Much Ado About Cullen: Twombly Not Arizona Law … for Now, ” Arizona Attorney (State Bar</w:t>
      </w:r>
      <w:r>
        <w:rPr>
          <w:color w:val="6E6158"/>
          <w:spacing w:val="80"/>
        </w:rPr>
        <w:t> </w:t>
      </w:r>
      <w:r>
        <w:rPr>
          <w:color w:val="6E6158"/>
        </w:rPr>
        <w:t>of Arizona), December 2009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142756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0644pt;width:1.65pt;height:1.65pt;mso-position-horizontal-relative:page;mso-position-vertical-relative:paragraph;z-index:15750656" id="docshape53" coordorigin="1675,225" coordsize="33,33" path="m1696,257l1687,257,1683,256,1676,249,1675,246,1675,237,1676,233,1683,226,1687,225,1696,225,1699,226,1706,233,1707,237,1707,241,1707,246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“Asset</w:t>
      </w:r>
      <w:r>
        <w:rPr>
          <w:color w:val="6E6158"/>
          <w:spacing w:val="12"/>
        </w:rPr>
        <w:t> </w:t>
      </w:r>
      <w:r>
        <w:rPr>
          <w:color w:val="6E6158"/>
        </w:rPr>
        <w:t>Transfers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Doctrine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Successor</w:t>
      </w:r>
      <w:r>
        <w:rPr>
          <w:color w:val="6E6158"/>
          <w:spacing w:val="12"/>
        </w:rPr>
        <w:t> </w:t>
      </w:r>
      <w:r>
        <w:rPr>
          <w:color w:val="6E6158"/>
        </w:rPr>
        <w:t>Liability,”</w:t>
      </w:r>
      <w:r>
        <w:rPr>
          <w:color w:val="6E6158"/>
          <w:spacing w:val="12"/>
        </w:rPr>
        <w:t> </w:t>
      </w:r>
      <w:r>
        <w:rPr>
          <w:color w:val="6E6158"/>
        </w:rPr>
        <w:t>August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2008</w:t>
      </w:r>
    </w:p>
    <w:p>
      <w:pPr>
        <w:pStyle w:val="BodyText"/>
        <w:spacing w:line="292" w:lineRule="auto" w:before="182"/>
        <w:ind w:right="39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355946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8.027311pt;width:1.65pt;height:1.65pt;mso-position-horizontal-relative:page;mso-position-vertical-relative:paragraph;z-index:15751168" id="docshape54" coordorigin="1675,561" coordsize="33,33" path="m1696,593l1687,593,1683,592,1676,585,1675,581,1675,572,1676,568,1683,562,1687,561,1696,561,1699,562,1706,568,1707,572,1707,577,1707,581,1706,585,1699,592,1696,5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“Goodbye Peremptory Challenges: Underlying Rational, Experience to Date, and Strategic Considerations” (seminar co-chair and panelist), State Bar of Arizona “CLE by the Sea,” </w:t>
      </w:r>
      <w:r>
        <w:rPr>
          <w:color w:val="6E6158"/>
        </w:rPr>
        <w:t>July </w:t>
      </w:r>
      <w:r>
        <w:rPr>
          <w:color w:val="6E6158"/>
          <w:spacing w:val="-4"/>
        </w:rPr>
        <w:t>2023</w:t>
      </w:r>
    </w:p>
    <w:p>
      <w:pPr>
        <w:pStyle w:val="BodyText"/>
        <w:spacing w:line="297" w:lineRule="auto" w:before="124"/>
        <w:ind w:right="59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324213</wp:posOffset>
                </wp:positionV>
                <wp:extent cx="20955" cy="20955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28584pt;width:1.65pt;height:1.65pt;mso-position-horizontal-relative:page;mso-position-vertical-relative:paragraph;z-index:15751680" id="docshape55" coordorigin="1675,511" coordsize="33,33" path="m1696,543l1687,543,1683,542,1676,535,1675,531,1675,522,1676,519,1683,512,1687,511,1696,511,1699,512,1706,519,1707,522,1707,527,1707,531,1706,535,1699,542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“Sun Tzu and von Clausewitz in the Courtroom: Shaping the Battlefield through </w:t>
      </w:r>
      <w:r>
        <w:rPr>
          <w:color w:val="6E6158"/>
        </w:rPr>
        <w:t>Dispositive Motions and Realizing that No Battle Plan Survives First Contact with the Enemy” (seminar cochair and panelist), State Bar of Arizona “CLE by the Sea,” July 2023</w:t>
      </w:r>
    </w:p>
    <w:p>
      <w:pPr>
        <w:pStyle w:val="BodyText"/>
        <w:spacing w:line="297" w:lineRule="auto" w:before="118"/>
        <w:ind w:right="50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320433</wp:posOffset>
                </wp:positionV>
                <wp:extent cx="20955" cy="20955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230989pt;width:1.65pt;height:1.65pt;mso-position-horizontal-relative:page;mso-position-vertical-relative:paragraph;z-index:15752192" id="docshape56" coordorigin="1675,505" coordsize="33,33" path="m1696,537l1687,537,1683,536,1676,529,1675,525,1675,516,1676,513,1683,506,1687,505,1696,505,1699,506,1706,513,1707,516,1707,521,1707,525,1706,529,1699,536,1696,5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“’Toto, I’ve a Feeling We’re Not in Superior Court Anymore’: Contrasting State and Federal Trial Practice and How to Avoid Losing your Appeal Before it Starts” (seminar co-chair and panelist), State Bar of Arizona “CLE by the Sea,” July 2023</w:t>
      </w:r>
    </w:p>
    <w:p>
      <w:pPr>
        <w:pStyle w:val="BodyText"/>
        <w:spacing w:before="11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139608</wp:posOffset>
                </wp:positionV>
                <wp:extent cx="20955" cy="20955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992782pt;width:1.65pt;height:1.65pt;mso-position-horizontal-relative:page;mso-position-vertical-relative:paragraph;z-index:15752704" id="docshape57" coordorigin="1675,220" coordsize="33,33" path="m1696,252l1687,252,1683,251,1676,244,1675,241,1675,232,1676,228,1683,221,1687,220,1696,220,1699,221,1706,228,1707,232,1707,236,1707,241,1706,244,1699,251,1696,2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“Civil</w:t>
      </w:r>
      <w:r>
        <w:rPr>
          <w:color w:val="6E6158"/>
          <w:spacing w:val="12"/>
        </w:rPr>
        <w:t> </w:t>
      </w:r>
      <w:r>
        <w:rPr>
          <w:color w:val="6E6158"/>
        </w:rPr>
        <w:t>Practice</w:t>
      </w:r>
      <w:r>
        <w:rPr>
          <w:color w:val="6E6158"/>
          <w:spacing w:val="13"/>
        </w:rPr>
        <w:t> </w:t>
      </w:r>
      <w:r>
        <w:rPr>
          <w:color w:val="6E6158"/>
        </w:rPr>
        <w:t>Update”</w:t>
      </w:r>
      <w:r>
        <w:rPr>
          <w:color w:val="6E6158"/>
          <w:spacing w:val="13"/>
        </w:rPr>
        <w:t> </w:t>
      </w:r>
      <w:r>
        <w:rPr>
          <w:color w:val="6E6158"/>
        </w:rPr>
        <w:t>(panelist),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Arizona,</w:t>
      </w:r>
      <w:r>
        <w:rPr>
          <w:color w:val="6E6158"/>
          <w:spacing w:val="13"/>
        </w:rPr>
        <w:t> </w:t>
      </w:r>
      <w:r>
        <w:rPr>
          <w:color w:val="6E6158"/>
        </w:rPr>
        <w:t>January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2023</w:t>
      </w:r>
    </w:p>
    <w:p>
      <w:pPr>
        <w:pStyle w:val="BodyText"/>
        <w:spacing w:line="420" w:lineRule="auto" w:before="174"/>
        <w:ind w:right="58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175118</wp:posOffset>
                </wp:positionV>
                <wp:extent cx="20955" cy="20955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8819pt;width:1.65pt;height:1.65pt;mso-position-horizontal-relative:page;mso-position-vertical-relative:paragraph;z-index:15753216" id="docshape58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433483</wp:posOffset>
                </wp:positionV>
                <wp:extent cx="20955" cy="20955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2565pt;width:1.65pt;height:1.65pt;mso-position-horizontal-relative:page;mso-position-vertical-relative:paragraph;z-index:15753728" id="docshape59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Judicial Conference Advisory Committee on Evidence Rules (panelist), Fall Meeting, </w:t>
      </w:r>
      <w:r>
        <w:rPr>
          <w:color w:val="6E6158"/>
        </w:rPr>
        <w:t>2022 Civil</w:t>
      </w:r>
      <w:r>
        <w:rPr>
          <w:color w:val="6E6158"/>
          <w:spacing w:val="20"/>
        </w:rPr>
        <w:t> </w:t>
      </w:r>
      <w:r>
        <w:rPr>
          <w:color w:val="6E6158"/>
        </w:rPr>
        <w:t>Practice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Procedure</w:t>
      </w:r>
      <w:r>
        <w:rPr>
          <w:color w:val="6E6158"/>
          <w:spacing w:val="20"/>
        </w:rPr>
        <w:t> </w:t>
      </w:r>
      <w:r>
        <w:rPr>
          <w:color w:val="6E6158"/>
        </w:rPr>
        <w:t>Symposium</w:t>
      </w:r>
      <w:r>
        <w:rPr>
          <w:color w:val="6E6158"/>
          <w:spacing w:val="20"/>
        </w:rPr>
        <w:t> </w:t>
      </w:r>
      <w:r>
        <w:rPr>
          <w:color w:val="6E6158"/>
        </w:rPr>
        <w:t>(panelist),</w:t>
      </w:r>
      <w:r>
        <w:rPr>
          <w:color w:val="6E6158"/>
          <w:spacing w:val="20"/>
        </w:rPr>
        <w:t> </w:t>
      </w:r>
      <w:r>
        <w:rPr>
          <w:color w:val="6E6158"/>
        </w:rPr>
        <w:t>State</w:t>
      </w:r>
      <w:r>
        <w:rPr>
          <w:color w:val="6E6158"/>
          <w:spacing w:val="20"/>
        </w:rPr>
        <w:t> </w:t>
      </w:r>
      <w:r>
        <w:rPr>
          <w:color w:val="6E6158"/>
        </w:rPr>
        <w:t>Bar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Arizona,</w:t>
      </w:r>
      <w:r>
        <w:rPr>
          <w:color w:val="6E6158"/>
          <w:spacing w:val="20"/>
        </w:rPr>
        <w:t> </w:t>
      </w:r>
      <w:r>
        <w:rPr>
          <w:color w:val="6E6158"/>
        </w:rPr>
        <w:t>September</w:t>
      </w:r>
      <w:r>
        <w:rPr>
          <w:color w:val="6E6158"/>
          <w:spacing w:val="20"/>
        </w:rPr>
        <w:t> </w:t>
      </w:r>
      <w:r>
        <w:rPr>
          <w:color w:val="6E6158"/>
        </w:rPr>
        <w:t>2022</w:t>
      </w:r>
    </w:p>
    <w:p>
      <w:pPr>
        <w:pStyle w:val="BodyText"/>
        <w:spacing w:line="292" w:lineRule="auto" w:before="6"/>
        <w:ind w:right="57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1063521</wp:posOffset>
                </wp:positionH>
                <wp:positionV relativeFrom="paragraph">
                  <wp:posOffset>249641</wp:posOffset>
                </wp:positionV>
                <wp:extent cx="20955" cy="20955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656849pt;width:1.65pt;height:1.65pt;mso-position-horizontal-relative:page;mso-position-vertical-relative:paragraph;z-index:15754240" id="docshape60" coordorigin="1675,393" coordsize="33,33" path="m1696,426l1687,426,1683,424,1676,418,1675,414,1675,405,1676,401,1683,395,1687,393,1696,393,1699,395,1706,401,1707,405,1707,409,1707,414,1706,418,1699,424,1696,42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“Complex Civil Litigation and Tier 3 Cases in Commercial Court: Everything You’ve Always Needed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Know,</w:t>
      </w:r>
      <w:r>
        <w:rPr>
          <w:color w:val="6E6158"/>
          <w:spacing w:val="30"/>
        </w:rPr>
        <w:t> </w:t>
      </w:r>
      <w:r>
        <w:rPr>
          <w:color w:val="6E6158"/>
        </w:rPr>
        <w:t>But</w:t>
      </w:r>
      <w:r>
        <w:rPr>
          <w:color w:val="6E6158"/>
          <w:spacing w:val="30"/>
        </w:rPr>
        <w:t> </w:t>
      </w:r>
      <w:r>
        <w:rPr>
          <w:color w:val="6E6158"/>
        </w:rPr>
        <w:t>Were</w:t>
      </w:r>
      <w:r>
        <w:rPr>
          <w:color w:val="6E6158"/>
          <w:spacing w:val="30"/>
        </w:rPr>
        <w:t> </w:t>
      </w:r>
      <w:r>
        <w:rPr>
          <w:color w:val="6E6158"/>
        </w:rPr>
        <w:t>Afraid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Ask!”</w:t>
      </w:r>
      <w:r>
        <w:rPr>
          <w:color w:val="6E6158"/>
          <w:spacing w:val="30"/>
        </w:rPr>
        <w:t> </w:t>
      </w:r>
      <w:r>
        <w:rPr>
          <w:color w:val="6E6158"/>
        </w:rPr>
        <w:t>(panelist),</w:t>
      </w:r>
      <w:r>
        <w:rPr>
          <w:color w:val="6E6158"/>
          <w:spacing w:val="30"/>
        </w:rPr>
        <w:t> </w:t>
      </w:r>
      <w:r>
        <w:rPr>
          <w:color w:val="6E6158"/>
        </w:rPr>
        <w:t>Maricopa</w:t>
      </w:r>
      <w:r>
        <w:rPr>
          <w:color w:val="6E6158"/>
          <w:spacing w:val="30"/>
        </w:rPr>
        <w:t> </w:t>
      </w:r>
      <w:r>
        <w:rPr>
          <w:color w:val="6E6158"/>
        </w:rPr>
        <w:t>County</w:t>
      </w:r>
      <w:r>
        <w:rPr>
          <w:color w:val="6E6158"/>
          <w:spacing w:val="30"/>
        </w:rPr>
        <w:t> </w:t>
      </w:r>
      <w:r>
        <w:rPr>
          <w:color w:val="6E6158"/>
        </w:rPr>
        <w:t>Bar</w:t>
      </w:r>
      <w:r>
        <w:rPr>
          <w:color w:val="6E6158"/>
          <w:spacing w:val="30"/>
        </w:rPr>
        <w:t> </w:t>
      </w:r>
      <w:r>
        <w:rPr>
          <w:color w:val="6E6158"/>
        </w:rPr>
        <w:t>Association,</w:t>
      </w:r>
    </w:p>
    <w:p>
      <w:pPr>
        <w:pStyle w:val="BodyText"/>
        <w:spacing w:before="2"/>
        <w:jc w:val="both"/>
      </w:pPr>
      <w:r>
        <w:rPr>
          <w:color w:val="6E6158"/>
        </w:rPr>
        <w:t>October</w:t>
      </w:r>
      <w:r>
        <w:rPr>
          <w:color w:val="6E6158"/>
          <w:spacing w:val="16"/>
        </w:rPr>
        <w:t> </w:t>
      </w:r>
      <w:r>
        <w:rPr>
          <w:color w:val="6E6158"/>
          <w:spacing w:val="-4"/>
        </w:rPr>
        <w:t>2021</w:t>
      </w:r>
    </w:p>
    <w:p>
      <w:pPr>
        <w:pStyle w:val="BodyText"/>
        <w:spacing w:line="292" w:lineRule="auto" w:before="182"/>
        <w:ind w:right="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1063521</wp:posOffset>
                </wp:positionH>
                <wp:positionV relativeFrom="paragraph">
                  <wp:posOffset>267930</wp:posOffset>
                </wp:positionV>
                <wp:extent cx="20955" cy="20955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687pt;width:1.65pt;height:1.65pt;mso-position-horizontal-relative:page;mso-position-vertical-relative:paragraph;z-index:15754752" id="docshape61" coordorigin="1675,422" coordsize="33,33" path="m1696,454l1687,454,1683,453,1676,447,1675,443,1675,434,1676,430,1683,424,1687,422,1696,422,1699,424,1706,430,1707,434,1707,438,1707,443,1706,447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“Where the Rubber Meets the Road: How the 2017 and 2018 Civil Rules Changes Are Impacting Litigation” (panelist), State Bar of Arizona, January 2019</w:t>
      </w:r>
    </w:p>
    <w:p>
      <w:pPr>
        <w:pStyle w:val="BodyText"/>
        <w:spacing w:before="123" w:after="7"/>
      </w:pPr>
      <w:r>
        <w:rPr>
          <w:color w:val="6E6158"/>
        </w:rPr>
        <w:t>“War</w:t>
      </w:r>
      <w:r>
        <w:rPr>
          <w:color w:val="6E6158"/>
          <w:spacing w:val="11"/>
        </w:rPr>
        <w:t> </w:t>
      </w:r>
      <w:r>
        <w:rPr>
          <w:color w:val="6E6158"/>
        </w:rPr>
        <w:t>Stories:</w:t>
      </w:r>
      <w:r>
        <w:rPr>
          <w:color w:val="6E6158"/>
          <w:spacing w:val="11"/>
        </w:rPr>
        <w:t> </w:t>
      </w:r>
      <w:r>
        <w:rPr>
          <w:color w:val="6E6158"/>
        </w:rPr>
        <w:t>Senior</w:t>
      </w:r>
      <w:r>
        <w:rPr>
          <w:color w:val="6E6158"/>
          <w:spacing w:val="11"/>
        </w:rPr>
        <w:t> </w:t>
      </w:r>
      <w:r>
        <w:rPr>
          <w:color w:val="6E6158"/>
        </w:rPr>
        <w:t>Litigators’</w:t>
      </w:r>
      <w:r>
        <w:rPr>
          <w:color w:val="6E6158"/>
          <w:spacing w:val="11"/>
        </w:rPr>
        <w:t> </w:t>
      </w:r>
      <w:r>
        <w:rPr>
          <w:color w:val="6E6158"/>
        </w:rPr>
        <w:t>Tales</w:t>
      </w:r>
      <w:r>
        <w:rPr>
          <w:color w:val="6E6158"/>
          <w:spacing w:val="11"/>
        </w:rPr>
        <w:t> </w:t>
      </w:r>
      <w:r>
        <w:rPr>
          <w:color w:val="6E6158"/>
        </w:rPr>
        <w:t>from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Trenches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Lessons</w:t>
      </w:r>
      <w:r>
        <w:rPr>
          <w:color w:val="6E6158"/>
          <w:spacing w:val="11"/>
        </w:rPr>
        <w:t> </w:t>
      </w:r>
      <w:r>
        <w:rPr>
          <w:color w:val="6E6158"/>
        </w:rPr>
        <w:t>Learned”</w:t>
      </w:r>
      <w:r>
        <w:rPr>
          <w:color w:val="6E6158"/>
          <w:spacing w:val="11"/>
        </w:rPr>
        <w:t> </w:t>
      </w:r>
      <w:r>
        <w:rPr>
          <w:color w:val="6E6158"/>
        </w:rPr>
        <w:t>(co-</w:t>
      </w:r>
      <w:r>
        <w:rPr>
          <w:color w:val="6E6158"/>
          <w:spacing w:val="-2"/>
        </w:rPr>
        <w:t>presenter),</w:t>
      </w:r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62" coordorigin="0,0" coordsize="33,33">
                <v:shape style="position:absolute;left:0;top:0;width:33;height:33" id="docshape63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</w:pPr>
      <w:r>
        <w:rPr>
          <w:color w:val="6E6158"/>
        </w:rPr>
        <w:t>Maricopa</w:t>
      </w:r>
      <w:r>
        <w:rPr>
          <w:color w:val="6E6158"/>
          <w:spacing w:val="14"/>
        </w:rPr>
        <w:t> </w:t>
      </w:r>
      <w:r>
        <w:rPr>
          <w:color w:val="6E6158"/>
        </w:rPr>
        <w:t>County</w:t>
      </w:r>
      <w:r>
        <w:rPr>
          <w:color w:val="6E6158"/>
          <w:spacing w:val="15"/>
        </w:rPr>
        <w:t> </w:t>
      </w:r>
      <w:r>
        <w:rPr>
          <w:color w:val="6E6158"/>
        </w:rPr>
        <w:t>Bar</w:t>
      </w:r>
      <w:r>
        <w:rPr>
          <w:color w:val="6E6158"/>
          <w:spacing w:val="15"/>
        </w:rPr>
        <w:t> </w:t>
      </w:r>
      <w:r>
        <w:rPr>
          <w:color w:val="6E6158"/>
        </w:rPr>
        <w:t>Association</w:t>
      </w:r>
      <w:r>
        <w:rPr>
          <w:color w:val="6E6158"/>
          <w:spacing w:val="15"/>
        </w:rPr>
        <w:t> </w:t>
      </w:r>
      <w:r>
        <w:rPr>
          <w:color w:val="6E6158"/>
        </w:rPr>
        <w:t>Litigation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Real</w:t>
      </w:r>
      <w:r>
        <w:rPr>
          <w:color w:val="6E6158"/>
          <w:spacing w:val="15"/>
        </w:rPr>
        <w:t> </w:t>
      </w:r>
      <w:r>
        <w:rPr>
          <w:color w:val="6E6158"/>
        </w:rPr>
        <w:t>Estate</w:t>
      </w:r>
      <w:r>
        <w:rPr>
          <w:color w:val="6E6158"/>
          <w:spacing w:val="15"/>
        </w:rPr>
        <w:t> </w:t>
      </w:r>
      <w:r>
        <w:rPr>
          <w:color w:val="6E6158"/>
        </w:rPr>
        <w:t>Sections,</w:t>
      </w:r>
      <w:r>
        <w:rPr>
          <w:color w:val="6E6158"/>
          <w:spacing w:val="15"/>
        </w:rPr>
        <w:t> </w:t>
      </w:r>
      <w:r>
        <w:rPr>
          <w:color w:val="6E6158"/>
        </w:rPr>
        <w:t>December</w:t>
      </w:r>
      <w:r>
        <w:rPr>
          <w:color w:val="6E6158"/>
          <w:spacing w:val="15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292" w:lineRule="auto" w:before="182"/>
        <w:ind w:right="2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1063521</wp:posOffset>
                </wp:positionH>
                <wp:positionV relativeFrom="paragraph">
                  <wp:posOffset>267887</wp:posOffset>
                </wp:positionV>
                <wp:extent cx="20955" cy="2095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3525pt;width:1.65pt;height:1.65pt;mso-position-horizontal-relative:page;mso-position-vertical-relative:paragraph;z-index:15755264" id="docshape64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“2018 Civil Practice and Procedure Symposium” (seminar co-chair and panelist) State Bar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Arizona, April 2018</w:t>
      </w:r>
    </w:p>
    <w:p>
      <w:pPr>
        <w:pStyle w:val="BodyText"/>
        <w:spacing w:line="292" w:lineRule="auto" w:before="123"/>
        <w:ind w:right="1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1063521</wp:posOffset>
                </wp:positionH>
                <wp:positionV relativeFrom="paragraph">
                  <wp:posOffset>323611</wp:posOffset>
                </wp:positionV>
                <wp:extent cx="20955" cy="20955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81251pt;width:1.65pt;height:1.65pt;mso-position-horizontal-relative:page;mso-position-vertical-relative:paragraph;z-index:15755776" id="docshape65" coordorigin="1675,510" coordsize="33,33" path="m1696,542l1687,542,1683,541,1676,534,1675,530,1675,521,1676,518,1683,511,1687,510,1696,510,1699,511,1706,518,1707,521,1707,526,1707,530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“Proportionality Takes Center Stage: The 2018 Revisions to the Arizona Rules of Civil Procedure”</w:t>
      </w:r>
      <w:r>
        <w:rPr>
          <w:color w:val="6E6158"/>
          <w:spacing w:val="40"/>
        </w:rPr>
        <w:t> </w:t>
      </w:r>
      <w:r>
        <w:rPr>
          <w:color w:val="6E6158"/>
        </w:rPr>
        <w:t>(co-presenter),</w:t>
      </w:r>
      <w:r>
        <w:rPr>
          <w:color w:val="6E6158"/>
          <w:spacing w:val="40"/>
        </w:rPr>
        <w:t> </w:t>
      </w:r>
      <w:r>
        <w:rPr>
          <w:color w:val="6E6158"/>
        </w:rPr>
        <w:t>Arizona</w:t>
      </w:r>
      <w:r>
        <w:rPr>
          <w:color w:val="6E6158"/>
          <w:spacing w:val="40"/>
        </w:rPr>
        <w:t> </w:t>
      </w:r>
      <w:r>
        <w:rPr>
          <w:color w:val="6E6158"/>
        </w:rPr>
        <w:t>Attorney</w:t>
      </w:r>
      <w:r>
        <w:rPr>
          <w:color w:val="6E6158"/>
          <w:spacing w:val="40"/>
        </w:rPr>
        <w:t> </w:t>
      </w:r>
      <w:r>
        <w:rPr>
          <w:color w:val="6E6158"/>
        </w:rPr>
        <w:t>General’s</w:t>
      </w:r>
      <w:r>
        <w:rPr>
          <w:color w:val="6E6158"/>
          <w:spacing w:val="40"/>
        </w:rPr>
        <w:t> </w:t>
      </w:r>
      <w:r>
        <w:rPr>
          <w:color w:val="6E6158"/>
        </w:rPr>
        <w:t>Office,</w:t>
      </w:r>
      <w:r>
        <w:rPr>
          <w:color w:val="6E6158"/>
          <w:spacing w:val="40"/>
        </w:rPr>
        <w:t> </w:t>
      </w:r>
      <w:r>
        <w:rPr>
          <w:color w:val="6E6158"/>
        </w:rPr>
        <w:t>Maricopa</w:t>
      </w:r>
      <w:r>
        <w:rPr>
          <w:color w:val="6E6158"/>
          <w:spacing w:val="40"/>
        </w:rPr>
        <w:t> </w:t>
      </w:r>
      <w:r>
        <w:rPr>
          <w:color w:val="6E6158"/>
        </w:rPr>
        <w:t>County</w:t>
      </w:r>
      <w:r>
        <w:rPr>
          <w:color w:val="6E6158"/>
          <w:spacing w:val="40"/>
        </w:rPr>
        <w:t> </w:t>
      </w:r>
      <w:r>
        <w:rPr>
          <w:color w:val="6E6158"/>
        </w:rPr>
        <w:t>Attorney’s</w:t>
      </w:r>
      <w:r>
        <w:rPr>
          <w:color w:val="6E6158"/>
          <w:spacing w:val="40"/>
        </w:rPr>
        <w:t> </w:t>
      </w:r>
      <w:r>
        <w:rPr>
          <w:color w:val="6E6158"/>
        </w:rPr>
        <w:t>Office,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</w:p>
    <w:p>
      <w:pPr>
        <w:pStyle w:val="BodyText"/>
        <w:spacing w:before="9"/>
      </w:pPr>
      <w:r>
        <w:rPr>
          <w:color w:val="6E6158"/>
        </w:rPr>
        <w:t>Sandra</w:t>
      </w:r>
      <w:r>
        <w:rPr>
          <w:color w:val="6E6158"/>
          <w:spacing w:val="11"/>
        </w:rPr>
        <w:t> </w:t>
      </w:r>
      <w:r>
        <w:rPr>
          <w:color w:val="6E6158"/>
        </w:rPr>
        <w:t>Day</w:t>
      </w:r>
      <w:r>
        <w:rPr>
          <w:color w:val="6E6158"/>
          <w:spacing w:val="11"/>
        </w:rPr>
        <w:t> </w:t>
      </w:r>
      <w:r>
        <w:rPr>
          <w:color w:val="6E6158"/>
        </w:rPr>
        <w:t>O’Connor</w:t>
      </w:r>
      <w:r>
        <w:rPr>
          <w:color w:val="6E6158"/>
          <w:spacing w:val="11"/>
        </w:rPr>
        <w:t> </w:t>
      </w:r>
      <w:r>
        <w:rPr>
          <w:color w:val="6E6158"/>
        </w:rPr>
        <w:t>Inn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Spring</w:t>
      </w:r>
      <w:r>
        <w:rPr>
          <w:color w:val="6E6158"/>
          <w:spacing w:val="11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 w:after="8"/>
      </w:pPr>
      <w:r>
        <w:rPr>
          <w:color w:val="6E6158"/>
        </w:rPr>
        <w:t>“2018</w:t>
      </w:r>
      <w:r>
        <w:rPr>
          <w:color w:val="6E6158"/>
          <w:spacing w:val="12"/>
        </w:rPr>
        <w:t> </w:t>
      </w:r>
      <w:r>
        <w:rPr>
          <w:color w:val="6E6158"/>
        </w:rPr>
        <w:t>Civil</w:t>
      </w:r>
      <w:r>
        <w:rPr>
          <w:color w:val="6E6158"/>
          <w:spacing w:val="12"/>
        </w:rPr>
        <w:t> </w:t>
      </w:r>
      <w:r>
        <w:rPr>
          <w:color w:val="6E6158"/>
        </w:rPr>
        <w:t>Justice</w:t>
      </w:r>
      <w:r>
        <w:rPr>
          <w:color w:val="6E6158"/>
          <w:spacing w:val="13"/>
        </w:rPr>
        <w:t> </w:t>
      </w:r>
      <w:r>
        <w:rPr>
          <w:color w:val="6E6158"/>
        </w:rPr>
        <w:t>Reforms:</w:t>
      </w:r>
      <w:r>
        <w:rPr>
          <w:color w:val="6E6158"/>
          <w:spacing w:val="12"/>
        </w:rPr>
        <w:t> </w:t>
      </w:r>
      <w:r>
        <w:rPr>
          <w:color w:val="6E6158"/>
        </w:rPr>
        <w:t>Case</w:t>
      </w:r>
      <w:r>
        <w:rPr>
          <w:color w:val="6E6158"/>
          <w:spacing w:val="13"/>
        </w:rPr>
        <w:t> </w:t>
      </w:r>
      <w:r>
        <w:rPr>
          <w:color w:val="6E6158"/>
        </w:rPr>
        <w:t>Management,</w:t>
      </w:r>
      <w:r>
        <w:rPr>
          <w:color w:val="6E6158"/>
          <w:spacing w:val="12"/>
        </w:rPr>
        <w:t> </w:t>
      </w:r>
      <w:r>
        <w:rPr>
          <w:color w:val="6E6158"/>
        </w:rPr>
        <w:t>ESI,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More”</w:t>
      </w:r>
      <w:r>
        <w:rPr>
          <w:color w:val="6E6158"/>
          <w:spacing w:val="12"/>
        </w:rPr>
        <w:t> </w:t>
      </w:r>
      <w:r>
        <w:rPr>
          <w:color w:val="6E6158"/>
        </w:rPr>
        <w:t>(panelist),</w:t>
      </w:r>
      <w:r>
        <w:rPr>
          <w:color w:val="6E6158"/>
          <w:spacing w:val="13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Arizona,</w:t>
      </w:r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66" coordorigin="0,0" coordsize="33,33">
                <v:shape style="position:absolute;left:0;top:0;width:33;height:33" id="docshape67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</w:pPr>
      <w:r>
        <w:rPr>
          <w:color w:val="6E6158"/>
        </w:rPr>
        <w:t>January</w:t>
      </w:r>
      <w:r>
        <w:rPr>
          <w:color w:val="6E6158"/>
          <w:spacing w:val="15"/>
        </w:rPr>
        <w:t> </w:t>
      </w:r>
      <w:r>
        <w:rPr>
          <w:color w:val="6E6158"/>
          <w:spacing w:val="-4"/>
        </w:rPr>
        <w:t>2018</w:t>
      </w:r>
    </w:p>
    <w:p>
      <w:pPr>
        <w:pStyle w:val="BodyText"/>
        <w:spacing w:line="292" w:lineRule="auto" w:before="182"/>
        <w:ind w:right="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1063521</wp:posOffset>
                </wp:positionH>
                <wp:positionV relativeFrom="paragraph">
                  <wp:posOffset>267888</wp:posOffset>
                </wp:positionV>
                <wp:extent cx="20955" cy="20955"/>
                <wp:effectExtent l="0" t="0" r="0" b="0"/>
                <wp:wrapNone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3544pt;width:1.65pt;height:1.65pt;mso-position-horizontal-relative:page;mso-position-vertical-relative:paragraph;z-index:15757824" id="docshape68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“Meet the New Rules: The Restyled Arizona Rules of Civil Procedure” (seminar chair </w:t>
      </w:r>
      <w:r>
        <w:rPr>
          <w:color w:val="6E6158"/>
        </w:rPr>
        <w:t>and panelist), State Bar of Arizona “CLE by the Sea,” July 2017</w:t>
      </w:r>
    </w:p>
    <w:p>
      <w:pPr>
        <w:pStyle w:val="BodyText"/>
        <w:spacing w:before="123" w:after="7"/>
      </w:pPr>
      <w:r>
        <w:rPr>
          <w:color w:val="6E6158"/>
        </w:rPr>
        <w:t>“Better,</w:t>
      </w:r>
      <w:r>
        <w:rPr>
          <w:color w:val="6E6158"/>
          <w:spacing w:val="8"/>
        </w:rPr>
        <w:t> </w:t>
      </w:r>
      <w:r>
        <w:rPr>
          <w:color w:val="6E6158"/>
        </w:rPr>
        <w:t>Faster,</w:t>
      </w:r>
      <w:r>
        <w:rPr>
          <w:color w:val="6E6158"/>
          <w:spacing w:val="8"/>
        </w:rPr>
        <w:t> </w:t>
      </w:r>
      <w:r>
        <w:rPr>
          <w:color w:val="6E6158"/>
        </w:rPr>
        <w:t>Cheaper:</w:t>
      </w:r>
      <w:r>
        <w:rPr>
          <w:color w:val="6E6158"/>
          <w:spacing w:val="8"/>
        </w:rPr>
        <w:t> </w:t>
      </w:r>
      <w:r>
        <w:rPr>
          <w:color w:val="6E6158"/>
        </w:rPr>
        <w:t>Case</w:t>
      </w:r>
      <w:r>
        <w:rPr>
          <w:color w:val="6E6158"/>
          <w:spacing w:val="9"/>
        </w:rPr>
        <w:t> </w:t>
      </w:r>
      <w:r>
        <w:rPr>
          <w:color w:val="6E6158"/>
        </w:rPr>
        <w:t>Management</w:t>
      </w:r>
      <w:r>
        <w:rPr>
          <w:color w:val="6E6158"/>
          <w:spacing w:val="8"/>
        </w:rPr>
        <w:t> </w:t>
      </w:r>
      <w:r>
        <w:rPr>
          <w:color w:val="6E6158"/>
        </w:rPr>
        <w:t>Reforms</w:t>
      </w:r>
      <w:r>
        <w:rPr>
          <w:color w:val="6E6158"/>
          <w:spacing w:val="8"/>
        </w:rPr>
        <w:t> </w:t>
      </w:r>
      <w:r>
        <w:rPr>
          <w:color w:val="6E6158"/>
        </w:rPr>
        <w:t>Coming</w:t>
      </w:r>
      <w:r>
        <w:rPr>
          <w:color w:val="6E6158"/>
          <w:spacing w:val="9"/>
        </w:rPr>
        <w:t> </w:t>
      </w:r>
      <w:r>
        <w:rPr>
          <w:color w:val="6E6158"/>
        </w:rPr>
        <w:t>to</w:t>
      </w:r>
      <w:r>
        <w:rPr>
          <w:color w:val="6E6158"/>
          <w:spacing w:val="8"/>
        </w:rPr>
        <w:t> </w:t>
      </w:r>
      <w:r>
        <w:rPr>
          <w:color w:val="6E6158"/>
        </w:rPr>
        <w:t>a</w:t>
      </w:r>
      <w:r>
        <w:rPr>
          <w:color w:val="6E6158"/>
          <w:spacing w:val="8"/>
        </w:rPr>
        <w:t> </w:t>
      </w:r>
      <w:r>
        <w:rPr>
          <w:color w:val="6E6158"/>
        </w:rPr>
        <w:t>Court</w:t>
      </w:r>
      <w:r>
        <w:rPr>
          <w:color w:val="6E6158"/>
          <w:spacing w:val="9"/>
        </w:rPr>
        <w:t> </w:t>
      </w:r>
      <w:r>
        <w:rPr>
          <w:color w:val="6E6158"/>
        </w:rPr>
        <w:t>Near</w:t>
      </w:r>
      <w:r>
        <w:rPr>
          <w:color w:val="6E6158"/>
          <w:spacing w:val="8"/>
        </w:rPr>
        <w:t> </w:t>
      </w:r>
      <w:r>
        <w:rPr>
          <w:color w:val="6E6158"/>
        </w:rPr>
        <w:t>You”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(panelist),</w:t>
      </w:r>
    </w:p>
    <w:p>
      <w:pPr>
        <w:pStyle w:val="BodyText"/>
        <w:spacing w:line="32" w:lineRule="exact"/>
        <w:ind w:left="234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69" coordorigin="0,0" coordsize="33,33">
                <v:shape style="position:absolute;left:0;top:0;width:33;height:33" id="docshape70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3"/>
      </w:pPr>
      <w:r>
        <w:rPr>
          <w:color w:val="6E6158"/>
        </w:rPr>
        <w:t>State</w:t>
      </w:r>
      <w:r>
        <w:rPr>
          <w:color w:val="6E6158"/>
          <w:spacing w:val="8"/>
        </w:rPr>
        <w:t> </w:t>
      </w:r>
      <w:r>
        <w:rPr>
          <w:color w:val="6E6158"/>
        </w:rPr>
        <w:t>Bar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Arizona</w:t>
      </w:r>
      <w:r>
        <w:rPr>
          <w:color w:val="6E6158"/>
          <w:spacing w:val="8"/>
        </w:rPr>
        <w:t> </w:t>
      </w:r>
      <w:r>
        <w:rPr>
          <w:color w:val="6E6158"/>
        </w:rPr>
        <w:t>“CLE</w:t>
      </w:r>
      <w:r>
        <w:rPr>
          <w:color w:val="6E6158"/>
          <w:spacing w:val="9"/>
        </w:rPr>
        <w:t> </w:t>
      </w:r>
      <w:r>
        <w:rPr>
          <w:color w:val="6E6158"/>
        </w:rPr>
        <w:t>by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8"/>
        </w:rPr>
        <w:t> </w:t>
      </w:r>
      <w:r>
        <w:rPr>
          <w:color w:val="6E6158"/>
        </w:rPr>
        <w:t>Sea,”</w:t>
      </w:r>
      <w:r>
        <w:rPr>
          <w:color w:val="6E6158"/>
          <w:spacing w:val="9"/>
        </w:rPr>
        <w:t> </w:t>
      </w:r>
      <w:r>
        <w:rPr>
          <w:color w:val="6E6158"/>
        </w:rPr>
        <w:t>July</w:t>
      </w:r>
      <w:r>
        <w:rPr>
          <w:color w:val="6E6158"/>
          <w:spacing w:val="9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line="292" w:lineRule="auto" w:before="182"/>
        <w:ind w:right="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1063521</wp:posOffset>
                </wp:positionH>
                <wp:positionV relativeFrom="paragraph">
                  <wp:posOffset>267888</wp:posOffset>
                </wp:positionV>
                <wp:extent cx="20955" cy="20955"/>
                <wp:effectExtent l="0" t="0" r="0" b="0"/>
                <wp:wrapNone/>
                <wp:docPr id="71" name="Graphic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Graphic 7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093544pt;width:1.65pt;height:1.65pt;mso-position-horizontal-relative:page;mso-position-vertical-relative:paragraph;z-index:15758336" id="docshape71" coordorigin="1675,422" coordsize="33,33" path="m1696,454l1687,454,1683,453,1676,446,1675,443,1675,434,1676,430,1683,423,1687,422,1696,422,1699,423,1706,430,1707,434,1707,438,1707,443,1706,446,1699,453,1696,4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“The Changing Federal Rules: Proportionality and More” (seminar chair and panelist), </w:t>
      </w:r>
      <w:r>
        <w:rPr>
          <w:color w:val="6E6158"/>
        </w:rPr>
        <w:t>State</w:t>
      </w:r>
      <w:r>
        <w:rPr>
          <w:color w:val="6E6158"/>
          <w:spacing w:val="40"/>
        </w:rPr>
        <w:t> </w:t>
      </w:r>
      <w:r>
        <w:rPr>
          <w:color w:val="6E6158"/>
        </w:rPr>
        <w:t>Bar of Arizona “CLE by the Sea,” July 2017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1063521</wp:posOffset>
                </wp:positionH>
                <wp:positionV relativeFrom="paragraph">
                  <wp:posOffset>230600</wp:posOffset>
                </wp:positionV>
                <wp:extent cx="20955" cy="20955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57516pt;width:1.65pt;height:1.65pt;mso-position-horizontal-relative:page;mso-position-vertical-relative:paragraph;z-index:15758848" id="docshape72" coordorigin="1675,363" coordsize="33,33" path="m1696,396l1687,396,1683,394,1676,388,1675,384,1675,375,1676,371,1683,365,1687,363,1696,363,1699,365,1706,371,1707,375,1707,379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“Under New Management: Case Management Reform Rule Changes” (panelist), State Bar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Arizona Convention, June 2017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1063521</wp:posOffset>
                </wp:positionH>
                <wp:positionV relativeFrom="paragraph">
                  <wp:posOffset>142933</wp:posOffset>
                </wp:positionV>
                <wp:extent cx="20955" cy="20955"/>
                <wp:effectExtent l="0" t="0" r="0" b="0"/>
                <wp:wrapNone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4616pt;width:1.65pt;height:1.65pt;mso-position-horizontal-relative:page;mso-position-vertical-relative:paragraph;z-index:15759360" id="docshape73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“Evidence</w:t>
      </w:r>
      <w:r>
        <w:rPr>
          <w:color w:val="6E6158"/>
          <w:spacing w:val="14"/>
        </w:rPr>
        <w:t> </w:t>
      </w:r>
      <w:r>
        <w:rPr>
          <w:color w:val="6E6158"/>
        </w:rPr>
        <w:t>Law</w:t>
      </w:r>
      <w:r>
        <w:rPr>
          <w:color w:val="6E6158"/>
          <w:spacing w:val="14"/>
        </w:rPr>
        <w:t> </w:t>
      </w:r>
      <w:r>
        <w:rPr>
          <w:color w:val="6E6158"/>
        </w:rPr>
        <w:t>Update”</w:t>
      </w:r>
      <w:r>
        <w:rPr>
          <w:color w:val="6E6158"/>
          <w:spacing w:val="15"/>
        </w:rPr>
        <w:t> </w:t>
      </w:r>
      <w:r>
        <w:rPr>
          <w:color w:val="6E6158"/>
        </w:rPr>
        <w:t>(panelist),</w:t>
      </w:r>
      <w:r>
        <w:rPr>
          <w:color w:val="6E6158"/>
          <w:spacing w:val="14"/>
        </w:rPr>
        <w:t> </w:t>
      </w:r>
      <w:r>
        <w:rPr>
          <w:color w:val="6E6158"/>
        </w:rPr>
        <w:t>State</w:t>
      </w:r>
      <w:r>
        <w:rPr>
          <w:color w:val="6E6158"/>
          <w:spacing w:val="15"/>
        </w:rPr>
        <w:t> </w:t>
      </w:r>
      <w:r>
        <w:rPr>
          <w:color w:val="6E6158"/>
        </w:rPr>
        <w:t>Bar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Arizona</w:t>
      </w:r>
      <w:r>
        <w:rPr>
          <w:color w:val="6E6158"/>
          <w:spacing w:val="14"/>
        </w:rPr>
        <w:t> </w:t>
      </w:r>
      <w:r>
        <w:rPr>
          <w:color w:val="6E6158"/>
        </w:rPr>
        <w:t>Convention,</w:t>
      </w:r>
      <w:r>
        <w:rPr>
          <w:color w:val="6E6158"/>
          <w:spacing w:val="15"/>
        </w:rPr>
        <w:t> </w:t>
      </w:r>
      <w:r>
        <w:rPr>
          <w:color w:val="6E6158"/>
        </w:rPr>
        <w:t>June</w:t>
      </w:r>
      <w:r>
        <w:rPr>
          <w:color w:val="6E6158"/>
          <w:spacing w:val="14"/>
        </w:rPr>
        <w:t> </w:t>
      </w:r>
      <w:r>
        <w:rPr>
          <w:color w:val="6E6158"/>
        </w:rPr>
        <w:t>2015-</w:t>
      </w:r>
      <w:r>
        <w:rPr>
          <w:color w:val="6E6158"/>
          <w:spacing w:val="-4"/>
        </w:rPr>
        <w:t>2018</w:t>
      </w:r>
    </w:p>
    <w:p>
      <w:pPr>
        <w:pStyle w:val="BodyText"/>
        <w:spacing w:line="292" w:lineRule="auto" w:before="174"/>
        <w:ind w:right="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1063521</wp:posOffset>
                </wp:positionH>
                <wp:positionV relativeFrom="paragraph">
                  <wp:posOffset>263199</wp:posOffset>
                </wp:positionV>
                <wp:extent cx="20955" cy="20955"/>
                <wp:effectExtent l="0" t="0" r="0" b="0"/>
                <wp:wrapNone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4409pt;width:1.65pt;height:1.65pt;mso-position-horizontal-relative:page;mso-position-vertical-relative:paragraph;z-index:15759872" id="docshape74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“2017 Civil Rules Changes: What Every Litigator Needs to Know” (co-presenter), </w:t>
      </w:r>
      <w:r>
        <w:rPr>
          <w:color w:val="6E6158"/>
        </w:rPr>
        <w:t>Maricopa County Bar Association, February 2017</w:t>
      </w:r>
    </w:p>
    <w:p>
      <w:pPr>
        <w:pStyle w:val="BodyText"/>
        <w:spacing w:line="302" w:lineRule="auto" w:before="124"/>
        <w:ind w:right="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1063521</wp:posOffset>
                </wp:positionH>
                <wp:positionV relativeFrom="paragraph">
                  <wp:posOffset>236159</wp:posOffset>
                </wp:positionV>
                <wp:extent cx="20955" cy="20955"/>
                <wp:effectExtent l="0" t="0" r="0" b="0"/>
                <wp:wrapNone/>
                <wp:docPr id="75" name="Graphic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Graphic 7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5257pt;width:1.65pt;height:1.65pt;mso-position-horizontal-relative:page;mso-position-vertical-relative:paragraph;z-index:15760384" id="docshape75" coordorigin="1675,372" coordsize="33,33" path="m1696,404l1687,404,1683,403,1676,397,1675,393,1675,384,1676,380,1683,373,1687,372,1696,372,1699,373,1706,380,1707,384,1707,388,1707,393,1706,397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“A Time of Change: The 2017 ARCP Revisions” (panelist), Scottsdale Bar Association, </w:t>
      </w:r>
      <w:r>
        <w:rPr>
          <w:color w:val="6E6158"/>
        </w:rPr>
        <w:t>February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line="420" w:lineRule="auto"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1063521</wp:posOffset>
                </wp:positionH>
                <wp:positionV relativeFrom="paragraph">
                  <wp:posOffset>136023</wp:posOffset>
                </wp:positionV>
                <wp:extent cx="20955" cy="20955"/>
                <wp:effectExtent l="0" t="0" r="0" b="0"/>
                <wp:wrapNone/>
                <wp:docPr id="76" name="Graphic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Graphic 7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10539pt;width:1.65pt;height:1.65pt;mso-position-horizontal-relative:page;mso-position-vertical-relative:paragraph;z-index:15760896" id="docshape76" coordorigin="1675,214" coordsize="33,33" path="m1696,247l1687,247,1683,245,1676,239,1675,235,1675,226,1676,222,1683,216,1687,214,1696,214,1699,216,1706,222,1707,226,1707,230,1707,235,1706,239,1699,245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1063521</wp:posOffset>
                </wp:positionH>
                <wp:positionV relativeFrom="paragraph">
                  <wp:posOffset>394389</wp:posOffset>
                </wp:positionV>
                <wp:extent cx="20955" cy="20955"/>
                <wp:effectExtent l="0" t="0" r="0" b="0"/>
                <wp:wrapNone/>
                <wp:docPr id="77" name="Graphic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Graphic 7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54289pt;width:1.65pt;height:1.65pt;mso-position-horizontal-relative:page;mso-position-vertical-relative:paragraph;z-index:15761408" id="docshape77" coordorigin="1675,621" coordsize="33,33" path="m1696,654l1687,654,1683,652,1676,646,1675,642,1675,633,1676,629,1683,623,1687,621,1696,621,1699,623,1706,629,1707,633,1707,637,1707,642,1706,646,1699,652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“2017 Civil Rules Update” (co-presenter), Arizona Attorney General’s Office, February </w:t>
      </w:r>
      <w:r>
        <w:rPr>
          <w:color w:val="6E6158"/>
        </w:rPr>
        <w:t>2017</w:t>
      </w:r>
      <w:r>
        <w:rPr>
          <w:color w:val="6E6158"/>
          <w:spacing w:val="40"/>
        </w:rPr>
        <w:t> </w:t>
      </w:r>
      <w:r>
        <w:rPr>
          <w:color w:val="6E6158"/>
        </w:rPr>
        <w:t>“Evidence Law Update Reprise” (panelist), State Bar of Arizona, February 2017</w:t>
      </w:r>
    </w:p>
    <w:p>
      <w:pPr>
        <w:pStyle w:val="BodyText"/>
        <w:spacing w:line="292" w:lineRule="auto" w:before="7"/>
        <w:ind w:right="2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1063521</wp:posOffset>
                </wp:positionH>
                <wp:positionV relativeFrom="paragraph">
                  <wp:posOffset>156906</wp:posOffset>
                </wp:positionV>
                <wp:extent cx="20955" cy="20955"/>
                <wp:effectExtent l="0" t="0" r="0" b="0"/>
                <wp:wrapNone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5482pt;width:1.65pt;height:1.65pt;mso-position-horizontal-relative:page;mso-position-vertical-relative:paragraph;z-index:15761920" id="docshape78" coordorigin="1675,247" coordsize="33,33" path="m1696,280l1687,280,1683,278,1676,272,1675,268,1675,259,1676,255,1683,249,1687,247,1696,247,1699,249,1706,255,1707,259,1707,263,1707,268,1706,272,1699,278,1696,2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“A Time of Change: The 2017 ARCP Revisions, and Proposals for 2018” (faculty member), State</w:t>
      </w:r>
      <w:r>
        <w:rPr>
          <w:color w:val="6E6158"/>
          <w:spacing w:val="40"/>
        </w:rPr>
        <w:t> </w:t>
      </w:r>
      <w:r>
        <w:rPr>
          <w:color w:val="6E6158"/>
        </w:rPr>
        <w:t>Bar of Arizona, January 2016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1063521</wp:posOffset>
                </wp:positionH>
                <wp:positionV relativeFrom="paragraph">
                  <wp:posOffset>142899</wp:posOffset>
                </wp:positionV>
                <wp:extent cx="20955" cy="20955"/>
                <wp:effectExtent l="0" t="0" r="0" b="0"/>
                <wp:wrapNone/>
                <wp:docPr id="79" name="Graphic 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9" name="Graphic 7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1919pt;width:1.65pt;height:1.65pt;mso-position-horizontal-relative:page;mso-position-vertical-relative:paragraph;z-index:15762432" id="docshape79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“Civil</w:t>
      </w:r>
      <w:r>
        <w:rPr>
          <w:color w:val="6E6158"/>
          <w:spacing w:val="14"/>
        </w:rPr>
        <w:t> </w:t>
      </w:r>
      <w:r>
        <w:rPr>
          <w:color w:val="6E6158"/>
        </w:rPr>
        <w:t>Law</w:t>
      </w:r>
      <w:r>
        <w:rPr>
          <w:color w:val="6E6158"/>
          <w:spacing w:val="15"/>
        </w:rPr>
        <w:t> </w:t>
      </w:r>
      <w:r>
        <w:rPr>
          <w:color w:val="6E6158"/>
        </w:rPr>
        <w:t>Updates”</w:t>
      </w:r>
      <w:r>
        <w:rPr>
          <w:color w:val="6E6158"/>
          <w:spacing w:val="15"/>
        </w:rPr>
        <w:t> </w:t>
      </w:r>
      <w:r>
        <w:rPr>
          <w:color w:val="6E6158"/>
        </w:rPr>
        <w:t>(faculty</w:t>
      </w:r>
      <w:r>
        <w:rPr>
          <w:color w:val="6E6158"/>
          <w:spacing w:val="15"/>
        </w:rPr>
        <w:t> </w:t>
      </w:r>
      <w:r>
        <w:rPr>
          <w:color w:val="6E6158"/>
        </w:rPr>
        <w:t>member),</w:t>
      </w:r>
      <w:r>
        <w:rPr>
          <w:color w:val="6E6158"/>
          <w:spacing w:val="15"/>
        </w:rPr>
        <w:t> </w:t>
      </w:r>
      <w:r>
        <w:rPr>
          <w:color w:val="6E6158"/>
        </w:rPr>
        <w:t>Arizona</w:t>
      </w:r>
      <w:r>
        <w:rPr>
          <w:color w:val="6E6158"/>
          <w:spacing w:val="15"/>
        </w:rPr>
        <w:t> </w:t>
      </w:r>
      <w:r>
        <w:rPr>
          <w:color w:val="6E6158"/>
        </w:rPr>
        <w:t>Judicial</w:t>
      </w:r>
      <w:r>
        <w:rPr>
          <w:color w:val="6E6158"/>
          <w:spacing w:val="15"/>
        </w:rPr>
        <w:t> </w:t>
      </w:r>
      <w:r>
        <w:rPr>
          <w:color w:val="6E6158"/>
        </w:rPr>
        <w:t>Conference,</w:t>
      </w:r>
      <w:r>
        <w:rPr>
          <w:color w:val="6E6158"/>
          <w:spacing w:val="15"/>
        </w:rPr>
        <w:t> </w:t>
      </w:r>
      <w:r>
        <w:rPr>
          <w:color w:val="6E6158"/>
        </w:rPr>
        <w:t>June</w:t>
      </w:r>
      <w:r>
        <w:rPr>
          <w:color w:val="6E6158"/>
          <w:spacing w:val="15"/>
        </w:rPr>
        <w:t> </w:t>
      </w:r>
      <w:r>
        <w:rPr>
          <w:color w:val="6E6158"/>
          <w:spacing w:val="-4"/>
        </w:rPr>
        <w:t>2016</w:t>
      </w:r>
    </w:p>
    <w:p>
      <w:pPr>
        <w:pStyle w:val="BodyText"/>
        <w:spacing w:line="302" w:lineRule="auto" w:before="174"/>
        <w:ind w:right="2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1063521</wp:posOffset>
                </wp:positionH>
                <wp:positionV relativeFrom="paragraph">
                  <wp:posOffset>268245</wp:posOffset>
                </wp:positionV>
                <wp:extent cx="20955" cy="20955"/>
                <wp:effectExtent l="0" t="0" r="0" b="0"/>
                <wp:wrapNone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1712pt;width:1.65pt;height:1.65pt;mso-position-horizontal-relative:page;mso-position-vertical-relative:paragraph;z-index:15762944" id="docshape80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“Where We’re Going, We Still Need Rules: Back to the Future in Civil Litigation” (panelist), State Bar of Arizona Convention, June 2016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456">
                <wp:simplePos x="0" y="0"/>
                <wp:positionH relativeFrom="page">
                  <wp:posOffset>1063521</wp:posOffset>
                </wp:positionH>
                <wp:positionV relativeFrom="paragraph">
                  <wp:posOffset>224203</wp:posOffset>
                </wp:positionV>
                <wp:extent cx="20955" cy="20955"/>
                <wp:effectExtent l="0" t="0" r="0" b="0"/>
                <wp:wrapNone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53858pt;width:1.65pt;height:1.65pt;mso-position-horizontal-relative:page;mso-position-vertical-relative:paragraph;z-index:15763456" id="docshape81" coordorigin="1675,353" coordsize="33,33" path="m1696,386l1687,386,1683,384,1676,378,1675,374,1675,365,1676,361,1683,355,1687,353,1696,353,1699,355,1706,361,1707,365,1707,369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“Sea Changes in the Federal and Arizona Rules of Civil procedure: The Winter 2016 Civil Rules</w:t>
      </w:r>
      <w:r>
        <w:rPr>
          <w:color w:val="6E6158"/>
          <w:spacing w:val="40"/>
        </w:rPr>
        <w:t> </w:t>
      </w:r>
      <w:r>
        <w:rPr>
          <w:color w:val="6E6158"/>
        </w:rPr>
        <w:t>Update” (panelist), State Bar of Arizona, February 2016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1063521</wp:posOffset>
                </wp:positionH>
                <wp:positionV relativeFrom="paragraph">
                  <wp:posOffset>235898</wp:posOffset>
                </wp:positionV>
                <wp:extent cx="20955" cy="20955"/>
                <wp:effectExtent l="0" t="0" r="0" b="0"/>
                <wp:wrapTopAndBottom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74713pt;width:1.65pt;height:1.65pt;mso-position-horizontal-relative:page;mso-position-vertical-relative:paragraph;z-index:-15699968;mso-wrap-distance-left:0;mso-wrap-distance-right:0" id="docshape82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color w:val="6E6158"/>
        </w:rPr>
        <w:t>“2015</w:t>
      </w:r>
      <w:r>
        <w:rPr>
          <w:color w:val="6E6158"/>
          <w:spacing w:val="11"/>
        </w:rPr>
        <w:t> </w:t>
      </w:r>
      <w:r>
        <w:rPr>
          <w:color w:val="6E6158"/>
        </w:rPr>
        <w:t>Amendments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Arizona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Federal</w:t>
      </w:r>
      <w:r>
        <w:rPr>
          <w:color w:val="6E6158"/>
          <w:spacing w:val="12"/>
        </w:rPr>
        <w:t> </w:t>
      </w:r>
      <w:r>
        <w:rPr>
          <w:color w:val="6E6158"/>
        </w:rPr>
        <w:t>Rules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Civil</w:t>
      </w:r>
      <w:r>
        <w:rPr>
          <w:color w:val="6E6158"/>
          <w:spacing w:val="12"/>
        </w:rPr>
        <w:t> </w:t>
      </w:r>
      <w:r>
        <w:rPr>
          <w:color w:val="6E6158"/>
        </w:rPr>
        <w:t>Procedure,”</w:t>
      </w:r>
      <w:r>
        <w:rPr>
          <w:color w:val="6E6158"/>
          <w:spacing w:val="12"/>
        </w:rPr>
        <w:t> </w:t>
      </w:r>
      <w:r>
        <w:rPr>
          <w:color w:val="6E6158"/>
        </w:rPr>
        <w:t>Chair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Co-</w:t>
      </w:r>
    </w:p>
    <w:p>
      <w:pPr>
        <w:pStyle w:val="BodyText"/>
        <w:spacing w:before="12"/>
      </w:pPr>
      <w:r>
        <w:rPr>
          <w:color w:val="6E6158"/>
        </w:rPr>
        <w:t>Presenter,</w:t>
      </w:r>
      <w:r>
        <w:rPr>
          <w:color w:val="6E6158"/>
          <w:spacing w:val="13"/>
        </w:rPr>
        <w:t> </w:t>
      </w:r>
      <w:r>
        <w:rPr>
          <w:color w:val="6E6158"/>
        </w:rPr>
        <w:t>Arizona</w:t>
      </w:r>
      <w:r>
        <w:rPr>
          <w:color w:val="6E6158"/>
          <w:spacing w:val="13"/>
        </w:rPr>
        <w:t> </w:t>
      </w:r>
      <w:r>
        <w:rPr>
          <w:color w:val="6E6158"/>
        </w:rPr>
        <w:t>Attorney</w:t>
      </w:r>
      <w:r>
        <w:rPr>
          <w:color w:val="6E6158"/>
          <w:spacing w:val="14"/>
        </w:rPr>
        <w:t> </w:t>
      </w:r>
      <w:r>
        <w:rPr>
          <w:color w:val="6E6158"/>
        </w:rPr>
        <w:t>General’s</w:t>
      </w:r>
      <w:r>
        <w:rPr>
          <w:color w:val="6E6158"/>
          <w:spacing w:val="13"/>
        </w:rPr>
        <w:t> </w:t>
      </w:r>
      <w:r>
        <w:rPr>
          <w:color w:val="6E6158"/>
        </w:rPr>
        <w:t>Office,</w:t>
      </w:r>
      <w:r>
        <w:rPr>
          <w:color w:val="6E6158"/>
          <w:spacing w:val="14"/>
        </w:rPr>
        <w:t> </w:t>
      </w:r>
      <w:r>
        <w:rPr>
          <w:color w:val="6E6158"/>
        </w:rPr>
        <w:t>January</w:t>
      </w:r>
      <w:r>
        <w:rPr>
          <w:color w:val="6E6158"/>
          <w:spacing w:val="13"/>
        </w:rPr>
        <w:t> </w:t>
      </w:r>
      <w:r>
        <w:rPr>
          <w:color w:val="6E6158"/>
          <w:spacing w:val="-4"/>
        </w:rPr>
        <w:t>2016</w:t>
      </w:r>
    </w:p>
    <w:p>
      <w:pPr>
        <w:pStyle w:val="BodyText"/>
        <w:spacing w:line="292" w:lineRule="auto" w:before="174"/>
        <w:ind w:right="2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1063521</wp:posOffset>
                </wp:positionH>
                <wp:positionV relativeFrom="paragraph">
                  <wp:posOffset>263006</wp:posOffset>
                </wp:positionV>
                <wp:extent cx="20955" cy="20955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9177pt;width:1.65pt;height:1.65pt;mso-position-horizontal-relative:page;mso-position-vertical-relative:paragraph;z-index:15763968" id="docshape83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“Civil Litigation Rules and Case Law Update” (panelist), State Bar of Arizona Convention, </w:t>
      </w:r>
      <w:r>
        <w:rPr>
          <w:color w:val="6E6158"/>
        </w:rPr>
        <w:t>June</w:t>
      </w:r>
      <w:r>
        <w:rPr>
          <w:color w:val="6E6158"/>
          <w:spacing w:val="40"/>
        </w:rPr>
        <w:t> </w:t>
      </w:r>
      <w:r>
        <w:rPr>
          <w:color w:val="6E6158"/>
          <w:spacing w:val="-4"/>
        </w:rPr>
        <w:t>2015</w:t>
      </w:r>
    </w:p>
    <w:p>
      <w:pPr>
        <w:pStyle w:val="BodyText"/>
        <w:spacing w:line="302" w:lineRule="auto" w:before="123"/>
        <w:ind w:right="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1063521</wp:posOffset>
                </wp:positionH>
                <wp:positionV relativeFrom="paragraph">
                  <wp:posOffset>235966</wp:posOffset>
                </wp:positionV>
                <wp:extent cx="20955" cy="20955"/>
                <wp:effectExtent l="0" t="0" r="0" b="0"/>
                <wp:wrapNone/>
                <wp:docPr id="84" name="Graphic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Graphic 8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0032pt;width:1.65pt;height:1.65pt;mso-position-horizontal-relative:page;mso-position-vertical-relative:paragraph;z-index:15764480" id="docshape84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“2015 Civil Practice and Procedure Symposium,” State Bar of Arizona, Seminar Chair </w:t>
      </w:r>
      <w:r>
        <w:rPr>
          <w:color w:val="6E6158"/>
        </w:rPr>
        <w:t>and Panelist, April 2015</w:t>
      </w:r>
    </w:p>
    <w:p>
      <w:pPr>
        <w:pStyle w:val="BodyText"/>
        <w:spacing w:line="292" w:lineRule="auto" w:before="113"/>
        <w:ind w:right="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1063521</wp:posOffset>
                </wp:positionH>
                <wp:positionV relativeFrom="paragraph">
                  <wp:posOffset>224309</wp:posOffset>
                </wp:positionV>
                <wp:extent cx="20955" cy="20955"/>
                <wp:effectExtent l="0" t="0" r="0" b="0"/>
                <wp:wrapNone/>
                <wp:docPr id="85" name="Graphic 8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5" name="Graphic 8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2174pt;width:1.65pt;height:1.65pt;mso-position-horizontal-relative:page;mso-position-vertical-relative:paragraph;z-index:15764992" id="docshape85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“The Rules They Are A-Changin’ (Again): 2015 Arizona Civil Rules Update,” State Bar </w:t>
      </w:r>
      <w:r>
        <w:rPr>
          <w:color w:val="6E6158"/>
        </w:rPr>
        <w:t>of Arizona, Panelist, January 2015</w:t>
      </w:r>
    </w:p>
    <w:p>
      <w:pPr>
        <w:pStyle w:val="Heading1"/>
        <w:spacing w:before="17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befor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1063521</wp:posOffset>
                </wp:positionH>
                <wp:positionV relativeFrom="paragraph">
                  <wp:posOffset>152425</wp:posOffset>
                </wp:positionV>
                <wp:extent cx="20955" cy="20955"/>
                <wp:effectExtent l="0" t="0" r="0" b="0"/>
                <wp:wrapNone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2008pt;width:1.65pt;height:1.65pt;mso-position-horizontal-relative:page;mso-position-vertical-relative:paragraph;z-index:15765504" id="docshape86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American</w:t>
      </w:r>
      <w:r>
        <w:rPr>
          <w:color w:val="6E6158"/>
          <w:spacing w:val="13"/>
        </w:rPr>
        <w:t> </w:t>
      </w:r>
      <w:r>
        <w:rPr>
          <w:color w:val="6E6158"/>
        </w:rPr>
        <w:t>Bar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292" w:lineRule="auto" w:before="174"/>
        <w:ind w:right="58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1063521</wp:posOffset>
                </wp:positionH>
                <wp:positionV relativeFrom="paragraph">
                  <wp:posOffset>263167</wp:posOffset>
                </wp:positionV>
                <wp:extent cx="20955" cy="20955"/>
                <wp:effectExtent l="0" t="0" r="0" b="0"/>
                <wp:wrapNone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21813pt;width:1.65pt;height:1.65pt;mso-position-horizontal-relative:page;mso-position-vertical-relative:paragraph;z-index:15766016" id="docshape87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State Bar of Arizona: Civil Practice and Procedure Committee (Chair, 2011-2014; </w:t>
      </w:r>
      <w:r>
        <w:rPr>
          <w:color w:val="6E6158"/>
        </w:rPr>
        <w:t>member, 2000-present); Ethical Rule 1.15 Task Force; Business Section</w:t>
      </w:r>
    </w:p>
    <w:p>
      <w:pPr>
        <w:pStyle w:val="BodyText"/>
        <w:spacing w:line="427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1063521</wp:posOffset>
                </wp:positionH>
                <wp:positionV relativeFrom="paragraph">
                  <wp:posOffset>143115</wp:posOffset>
                </wp:positionV>
                <wp:extent cx="20955" cy="20955"/>
                <wp:effectExtent l="0" t="0" r="0" b="0"/>
                <wp:wrapNone/>
                <wp:docPr id="88" name="Graphic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Graphic 8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8901pt;width:1.65pt;height:1.65pt;mso-position-horizontal-relative:page;mso-position-vertical-relative:paragraph;z-index:15766528" id="docshape88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1063521</wp:posOffset>
                </wp:positionH>
                <wp:positionV relativeFrom="paragraph">
                  <wp:posOffset>401480</wp:posOffset>
                </wp:positionV>
                <wp:extent cx="20955" cy="20955"/>
                <wp:effectExtent l="0" t="0" r="0" b="0"/>
                <wp:wrapNone/>
                <wp:docPr id="89" name="Graphic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Graphic 8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12644pt;width:1.65pt;height:1.65pt;mso-position-horizontal-relative:page;mso-position-vertical-relative:paragraph;z-index:15767040" id="docshape89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Committee on Superior Court, Arizona Judicial Council (State Bar of Arizona </w:t>
      </w:r>
      <w:r>
        <w:rPr>
          <w:color w:val="6E6158"/>
        </w:rPr>
        <w:t>Representative)</w:t>
      </w:r>
      <w:r>
        <w:rPr>
          <w:color w:val="6E6158"/>
          <w:spacing w:val="40"/>
        </w:rPr>
        <w:t> </w:t>
      </w:r>
      <w:r>
        <w:rPr>
          <w:color w:val="6E6158"/>
        </w:rPr>
        <w:t>Coach, Veritas Preparatory Academy Mock Trial Team, 2020-2025</w:t>
      </w: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1063521</wp:posOffset>
                </wp:positionH>
                <wp:positionV relativeFrom="paragraph">
                  <wp:posOffset>148136</wp:posOffset>
                </wp:positionV>
                <wp:extent cx="20955" cy="20955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664325pt;width:1.65pt;height:1.65pt;mso-position-horizontal-relative:page;mso-position-vertical-relative:paragraph;z-index:15767552" id="docshape90" coordorigin="1675,233" coordsize="33,33" path="m1696,266l1687,266,1683,264,1676,258,1675,254,1675,245,1676,241,1683,235,1687,233,1696,233,1699,235,1706,241,1707,245,1707,250,1707,254,1706,258,1699,264,1696,2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Adjunct Professor, Civil Pretrial Practice, Sandra Day O’Connor College of Law, Arizona State University, 2018-2022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420" w:lineRule="auto" w:before="88"/>
        <w:ind w:right="115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91" name="Graphic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Graphic 9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77pt;width:1.65pt;height:1.65pt;mso-position-horizontal-relative:page;mso-position-vertical-relative:paragraph;z-index:15768064" id="docshape91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1063521</wp:posOffset>
                </wp:positionH>
                <wp:positionV relativeFrom="paragraph">
                  <wp:posOffset>379143</wp:posOffset>
                </wp:positionV>
                <wp:extent cx="20955" cy="20955"/>
                <wp:effectExtent l="0" t="0" r="0" b="0"/>
                <wp:wrapNone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827pt;width:1.65pt;height:1.65pt;mso-position-horizontal-relative:page;mso-position-vertical-relative:paragraph;z-index:15768576" id="docshape92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Advisory Committee on Rules of Evidence, Arizona Supreme Court, 2012-</w:t>
      </w:r>
      <w:r>
        <w:rPr>
          <w:color w:val="6E6158"/>
        </w:rPr>
        <w:t>2018 Committee on Civil Justice Reform, Arizona Supreme Court, 2017</w:t>
      </w:r>
    </w:p>
    <w:p>
      <w:pPr>
        <w:pStyle w:val="BodyText"/>
        <w:spacing w:line="292" w:lineRule="auto" w:before="7"/>
        <w:ind w:right="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1063521</wp:posOffset>
                </wp:positionH>
                <wp:positionV relativeFrom="paragraph">
                  <wp:posOffset>156900</wp:posOffset>
                </wp:positionV>
                <wp:extent cx="20955" cy="20955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54358pt;width:1.65pt;height:1.65pt;mso-position-horizontal-relative:page;mso-position-vertical-relative:paragraph;z-index:15769088" id="docshape93" coordorigin="1675,247" coordsize="33,33" path="m1696,280l1687,280,1683,278,1676,272,1675,268,1675,259,1676,255,1683,249,1687,247,1696,247,1699,249,1706,255,1707,259,1707,263,1707,268,1706,272,1699,278,1696,2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Task Force on the Arizona Rules of Civil Procedure, Arizona Supreme Court: Co- Chair, 2014- </w:t>
      </w:r>
      <w:r>
        <w:rPr>
          <w:color w:val="6E6158"/>
          <w:spacing w:val="-4"/>
        </w:rPr>
        <w:t>2016</w:t>
      </w:r>
    </w:p>
    <w:p>
      <w:pPr>
        <w:pStyle w:val="BodyText"/>
        <w:spacing w:line="420" w:lineRule="auto" w:before="123"/>
        <w:ind w:right="25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1063521</wp:posOffset>
                </wp:positionH>
                <wp:positionV relativeFrom="paragraph">
                  <wp:posOffset>142893</wp:posOffset>
                </wp:positionV>
                <wp:extent cx="20955" cy="20955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51456pt;width:1.65pt;height:1.65pt;mso-position-horizontal-relative:page;mso-position-vertical-relative:paragraph;z-index:15769600" id="docshape94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1063521</wp:posOffset>
                </wp:positionH>
                <wp:positionV relativeFrom="paragraph">
                  <wp:posOffset>401259</wp:posOffset>
                </wp:positionV>
                <wp:extent cx="20955" cy="20955"/>
                <wp:effectExtent l="0" t="0" r="0" b="0"/>
                <wp:wrapNone/>
                <wp:docPr id="95" name="Graphic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Graphic 9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595203pt;width:1.65pt;height:1.65pt;mso-position-horizontal-relative:page;mso-position-vertical-relative:paragraph;z-index:15770112" id="docshape95" coordorigin="1675,632" coordsize="33,33" path="m1696,664l1687,664,1683,663,1676,657,1675,653,1675,644,1676,640,1683,633,1687,632,1696,632,1699,633,1706,640,1707,644,1707,648,1707,653,1706,657,1699,663,1696,66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Court Advisory Committee, Arizona Supreme Court, 2015 Commercial Court Review Committee, Arizona Supreme Court, </w:t>
      </w:r>
      <w:r>
        <w:rPr>
          <w:color w:val="6E6158"/>
        </w:rPr>
        <w:t>2018</w:t>
      </w:r>
    </w:p>
    <w:p>
      <w:pPr>
        <w:pStyle w:val="BodyText"/>
        <w:spacing w:line="420" w:lineRule="auto" w:before="7"/>
        <w:ind w:right="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0624">
                <wp:simplePos x="0" y="0"/>
                <wp:positionH relativeFrom="page">
                  <wp:posOffset>1063521</wp:posOffset>
                </wp:positionH>
                <wp:positionV relativeFrom="paragraph">
                  <wp:posOffset>63779</wp:posOffset>
                </wp:positionV>
                <wp:extent cx="20955" cy="20955"/>
                <wp:effectExtent l="0" t="0" r="0" b="0"/>
                <wp:wrapNone/>
                <wp:docPr id="96" name="Graphic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Graphic 9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1986pt;width:1.65pt;height:1.65pt;mso-position-horizontal-relative:page;mso-position-vertical-relative:paragraph;z-index:15770624" id="docshape96" coordorigin="1675,100" coordsize="33,33" path="m1696,133l1687,133,1683,131,1676,125,1675,121,1675,112,1676,108,1683,102,1687,100,1696,100,1699,102,1706,108,1707,112,1707,117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136">
                <wp:simplePos x="0" y="0"/>
                <wp:positionH relativeFrom="page">
                  <wp:posOffset>1063521</wp:posOffset>
                </wp:positionH>
                <wp:positionV relativeFrom="paragraph">
                  <wp:posOffset>322144</wp:posOffset>
                </wp:positionV>
                <wp:extent cx="20955" cy="20955"/>
                <wp:effectExtent l="0" t="0" r="0" b="0"/>
                <wp:wrapNone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5734pt;width:1.65pt;height:1.65pt;mso-position-horizontal-relative:page;mso-position-vertical-relative:paragraph;z-index:15771136" id="docshape97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1648">
                <wp:simplePos x="0" y="0"/>
                <wp:positionH relativeFrom="page">
                  <wp:posOffset>1063521</wp:posOffset>
                </wp:positionH>
                <wp:positionV relativeFrom="paragraph">
                  <wp:posOffset>585677</wp:posOffset>
                </wp:positionV>
                <wp:extent cx="20955" cy="20955"/>
                <wp:effectExtent l="0" t="0" r="0" b="0"/>
                <wp:wrapNone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11636pt;width:1.65pt;height:1.65pt;mso-position-horizontal-relative:page;mso-position-vertical-relative:paragraph;z-index:15771648" id="docshape98" coordorigin="1675,922" coordsize="33,33" path="m1696,955l1687,955,1683,953,1676,947,1675,943,1675,934,1676,930,1683,924,1687,922,1696,922,1699,924,1706,930,1707,934,1707,939,1707,943,1706,947,1699,953,1696,9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Case Management and Trial Setting Task Force, Administrative Office of the Court, 2013 Commercial Court Practices and Procedure Committee, Maricopa County Superior </w:t>
      </w:r>
      <w:r>
        <w:rPr>
          <w:color w:val="6E6158"/>
        </w:rPr>
        <w:t>Court Civil Study Committee, Maricopa County Superior Court</w:t>
      </w:r>
    </w:p>
    <w:p>
      <w:pPr>
        <w:pStyle w:val="BodyText"/>
        <w:spacing w:line="302" w:lineRule="auto"/>
        <w:ind w:right="2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160">
                <wp:simplePos x="0" y="0"/>
                <wp:positionH relativeFrom="page">
                  <wp:posOffset>1063521</wp:posOffset>
                </wp:positionH>
                <wp:positionV relativeFrom="paragraph">
                  <wp:posOffset>155999</wp:posOffset>
                </wp:positionV>
                <wp:extent cx="20955" cy="20955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283406pt;width:1.65pt;height:1.65pt;mso-position-horizontal-relative:page;mso-position-vertical-relative:paragraph;z-index:15772160" id="docshape99" coordorigin="1675,246" coordsize="33,33" path="m1696,278l1687,278,1683,277,1676,270,1675,266,1675,257,1676,254,1683,247,1687,246,1696,246,1699,247,1706,254,1707,257,1707,262,1707,266,1706,270,1699,277,1696,27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Committee on Civil Rules of Procedure for Limited Jurisdiction Courts, Arizona Supreme </w:t>
      </w:r>
      <w:r>
        <w:rPr>
          <w:color w:val="6E6158"/>
        </w:rPr>
        <w:t>Court,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2011-2012</w:t>
      </w:r>
    </w:p>
    <w:p>
      <w:pPr>
        <w:pStyle w:val="BodyText"/>
        <w:spacing w:before="11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2672">
                <wp:simplePos x="0" y="0"/>
                <wp:positionH relativeFrom="page">
                  <wp:posOffset>1063521</wp:posOffset>
                </wp:positionH>
                <wp:positionV relativeFrom="paragraph">
                  <wp:posOffset>134603</wp:posOffset>
                </wp:positionV>
                <wp:extent cx="20955" cy="20955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98688pt;width:1.65pt;height:1.65pt;mso-position-horizontal-relative:page;mso-position-vertical-relative:paragraph;z-index:15772672" id="docshape100" coordorigin="1675,212" coordsize="33,33" path="m1696,245l1687,245,1683,243,1676,237,1675,233,1675,224,1676,220,1683,214,1687,212,1696,212,1699,214,1706,220,1707,224,1707,228,1707,233,1706,237,1699,243,1696,24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State</w:t>
      </w:r>
      <w:r>
        <w:rPr>
          <w:color w:val="6E6158"/>
          <w:spacing w:val="7"/>
        </w:rPr>
        <w:t> </w:t>
      </w:r>
      <w:r>
        <w:rPr>
          <w:color w:val="6E6158"/>
        </w:rPr>
        <w:t>Bar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line="422" w:lineRule="auto" w:before="174"/>
        <w:ind w:right="43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184">
                <wp:simplePos x="0" y="0"/>
                <wp:positionH relativeFrom="page">
                  <wp:posOffset>1063521</wp:posOffset>
                </wp:positionH>
                <wp:positionV relativeFrom="paragraph">
                  <wp:posOffset>175193</wp:posOffset>
                </wp:positionV>
                <wp:extent cx="20955" cy="20955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4731pt;width:1.65pt;height:1.65pt;mso-position-horizontal-relative:page;mso-position-vertical-relative:paragraph;z-index:15773184" id="docshape101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3696">
                <wp:simplePos x="0" y="0"/>
                <wp:positionH relativeFrom="page">
                  <wp:posOffset>1063521</wp:posOffset>
                </wp:positionH>
                <wp:positionV relativeFrom="paragraph">
                  <wp:posOffset>433558</wp:posOffset>
                </wp:positionV>
                <wp:extent cx="20955" cy="20955"/>
                <wp:effectExtent l="0" t="0" r="0" b="0"/>
                <wp:wrapNone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8481pt;width:1.65pt;height:1.65pt;mso-position-horizontal-relative:page;mso-position-vertical-relative:paragraph;z-index:15773696" id="docshape102" coordorigin="1675,683" coordsize="33,33" path="m1696,715l1687,715,1683,714,1676,707,1675,704,1675,695,1676,691,1683,684,1687,683,1696,683,1699,684,1706,691,1707,695,1707,699,1707,704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208">
                <wp:simplePos x="0" y="0"/>
                <wp:positionH relativeFrom="page">
                  <wp:posOffset>1063521</wp:posOffset>
                </wp:positionH>
                <wp:positionV relativeFrom="paragraph">
                  <wp:posOffset>691924</wp:posOffset>
                </wp:positionV>
                <wp:extent cx="20955" cy="20955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4.482231pt;width:1.65pt;height:1.65pt;mso-position-horizontal-relative:page;mso-position-vertical-relative:paragraph;z-index:15774208" id="docshape103" coordorigin="1675,1090" coordsize="33,33" path="m1696,1122l1687,1122,1683,1121,1676,1114,1675,1110,1675,1101,1676,1098,1683,1091,1687,1090,1696,1090,1699,1091,1706,1098,1707,1101,1707,1106,1707,1110,1706,1114,1699,1121,1696,112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Past President, Scottsdale Bar Association Member, Maricopa County Bar </w:t>
      </w:r>
      <w:r>
        <w:rPr>
          <w:color w:val="6E6158"/>
        </w:rPr>
        <w:t>Association Thurgood Marshall Inn of Court</w:t>
      </w:r>
    </w:p>
    <w:p>
      <w:pPr>
        <w:pStyle w:val="Heading1"/>
        <w:spacing w:before="38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47"/>
        <w:ind w:right="75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4720">
                <wp:simplePos x="0" y="0"/>
                <wp:positionH relativeFrom="page">
                  <wp:posOffset>1063521</wp:posOffset>
                </wp:positionH>
                <wp:positionV relativeFrom="paragraph">
                  <wp:posOffset>157806</wp:posOffset>
                </wp:positionV>
                <wp:extent cx="20955" cy="20955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5706pt;width:1.65pt;height:1.65pt;mso-position-horizontal-relative:page;mso-position-vertical-relative:paragraph;z-index:15774720" id="docshape104" coordorigin="1675,249" coordsize="33,33" path="m1696,281l1687,281,1683,279,1676,273,1675,269,1675,260,1676,256,1683,250,1687,249,1696,249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232">
                <wp:simplePos x="0" y="0"/>
                <wp:positionH relativeFrom="page">
                  <wp:posOffset>1063521</wp:posOffset>
                </wp:positionH>
                <wp:positionV relativeFrom="paragraph">
                  <wp:posOffset>416172</wp:posOffset>
                </wp:positionV>
                <wp:extent cx="20955" cy="20955"/>
                <wp:effectExtent l="0" t="0" r="0" b="0"/>
                <wp:wrapNone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9455pt;width:1.65pt;height:1.65pt;mso-position-horizontal-relative:page;mso-position-vertical-relative:paragraph;z-index:15775232" id="docshape105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 Colorado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1063521</wp:posOffset>
                </wp:positionH>
                <wp:positionV relativeFrom="paragraph">
                  <wp:posOffset>63452</wp:posOffset>
                </wp:positionV>
                <wp:extent cx="20955" cy="20955"/>
                <wp:effectExtent l="0" t="0" r="0" b="0"/>
                <wp:wrapNone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6236pt;width:1.65pt;height:1.65pt;mso-position-horizontal-relative:page;mso-position-vertical-relative:paragraph;z-index:15775744" id="docshape106" coordorigin="1675,100" coordsize="33,33" path="m1696,132l1687,132,1683,131,1676,125,1675,121,1675,112,1676,108,1683,102,1687,100,1696,100,1699,102,1706,108,1707,112,1707,116,1707,121,1706,125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Court,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Arizona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1063521</wp:posOffset>
                </wp:positionH>
                <wp:positionV relativeFrom="paragraph">
                  <wp:posOffset>175249</wp:posOffset>
                </wp:positionV>
                <wp:extent cx="20955" cy="20955"/>
                <wp:effectExtent l="0" t="0" r="0" b="0"/>
                <wp:wrapNone/>
                <wp:docPr id="107" name="Graphic 10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7" name="Graphic 10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9163pt;width:1.65pt;height:1.65pt;mso-position-horizontal-relative:page;mso-position-vertical-relative:paragraph;z-index:15776256" id="docshape107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wklain@fennemorelaw.com" TargetMode="External"/><Relationship Id="rId11" Type="http://schemas.openxmlformats.org/officeDocument/2006/relationships/hyperlink" Target="https://www.fennemorelaw.com/seven-significant-differences-between-arizona-and-federal-civil-procedure-in-2024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2025-04-10T23:53:58Z</dcterms:created>
  <dcterms:modified xsi:type="dcterms:W3CDTF">2025-04-10T23:53:58Z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2025-04-10T00:00:00Z</vt:filetime>
  </property>
  <property fmtid="{D5CDD505-2E9C-101B-9397-08002B2CF9AE}" pid="5" name="Producer">
    <vt:lpwstr>Skia/PDF m117</vt:lpwstr>
  </property>
</Properties>
</file>